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8F6B" w14:textId="77777777" w:rsidR="00E749C8" w:rsidRPr="00A2344C" w:rsidRDefault="00070130">
      <w:pPr>
        <w:pStyle w:val="Heading2"/>
        <w:rPr>
          <w:rFonts w:ascii="Arial" w:hAnsi="Arial" w:cs="Arial"/>
          <w:bCs w:val="0"/>
          <w:sz w:val="22"/>
          <w:szCs w:val="22"/>
          <w:lang w:val="en-GB"/>
        </w:rPr>
      </w:pPr>
      <w:r>
        <w:rPr>
          <w:noProof/>
        </w:rPr>
        <w:drawing>
          <wp:anchor distT="0" distB="0" distL="114300" distR="114300" simplePos="0" relativeHeight="251659264" behindDoc="0" locked="0" layoutInCell="1" allowOverlap="1" wp14:anchorId="46B953FB" wp14:editId="4ED7A3B7">
            <wp:simplePos x="0" y="0"/>
            <wp:positionH relativeFrom="column">
              <wp:posOffset>4495800</wp:posOffset>
            </wp:positionH>
            <wp:positionV relativeFrom="paragraph">
              <wp:posOffset>-659130</wp:posOffset>
            </wp:positionV>
            <wp:extent cx="1828800" cy="585216"/>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C6">
        <w:rPr>
          <w:rFonts w:ascii="Arial" w:hAnsi="Arial" w:cs="Arial"/>
          <w:bCs w:val="0"/>
          <w:sz w:val="22"/>
          <w:szCs w:val="22"/>
          <w:lang w:val="en-GB"/>
        </w:rPr>
        <w:t xml:space="preserve">Accounting </w:t>
      </w:r>
      <w:r w:rsidR="00E749C8" w:rsidRPr="00A2344C">
        <w:rPr>
          <w:rFonts w:ascii="Arial" w:hAnsi="Arial" w:cs="Arial"/>
          <w:bCs w:val="0"/>
          <w:sz w:val="22"/>
          <w:szCs w:val="22"/>
          <w:lang w:val="en-GB"/>
        </w:rPr>
        <w:t>Mentor Visit Report</w:t>
      </w:r>
      <w:r w:rsidR="00DB7743" w:rsidRPr="00A2344C">
        <w:rPr>
          <w:rFonts w:ascii="Arial" w:hAnsi="Arial" w:cs="Arial"/>
          <w:bCs w:val="0"/>
          <w:sz w:val="22"/>
          <w:szCs w:val="22"/>
          <w:lang w:val="en-GB"/>
        </w:rPr>
        <w:t xml:space="preserve"> (</w:t>
      </w:r>
      <w:r w:rsidR="00EE2DC6">
        <w:rPr>
          <w:rFonts w:ascii="Arial" w:hAnsi="Arial" w:cs="Arial"/>
          <w:bCs w:val="0"/>
          <w:sz w:val="22"/>
          <w:szCs w:val="22"/>
          <w:lang w:val="en-GB"/>
        </w:rPr>
        <w:t xml:space="preserve">2018 </w:t>
      </w:r>
      <w:r w:rsidR="00DB7743" w:rsidRPr="00A2344C">
        <w:rPr>
          <w:rFonts w:ascii="Arial" w:hAnsi="Arial" w:cs="Arial"/>
          <w:bCs w:val="0"/>
          <w:sz w:val="22"/>
          <w:szCs w:val="22"/>
          <w:lang w:val="en-GB"/>
        </w:rPr>
        <w:t>Standard by Standard)</w:t>
      </w:r>
      <w:r w:rsidR="00E749C8" w:rsidRPr="00A2344C">
        <w:rPr>
          <w:rFonts w:ascii="Arial" w:hAnsi="Arial" w:cs="Arial"/>
          <w:bCs w:val="0"/>
          <w:sz w:val="22"/>
          <w:szCs w:val="22"/>
          <w:lang w:val="en-GB"/>
        </w:rPr>
        <w:t xml:space="preserve">  </w:t>
      </w:r>
    </w:p>
    <w:p w14:paraId="0BFCFB07" w14:textId="77777777" w:rsidR="00B3233E" w:rsidRPr="00A2344C" w:rsidRDefault="00B3233E">
      <w:pPr>
        <w:rPr>
          <w:rFonts w:ascii="Arial" w:hAnsi="Arial" w:cs="Arial"/>
          <w:bCs/>
          <w:sz w:val="22"/>
          <w:szCs w:val="22"/>
          <w:lang w:val="en-GB"/>
        </w:rPr>
      </w:pPr>
    </w:p>
    <w:p w14:paraId="0336F877" w14:textId="77777777" w:rsidR="00E749C8" w:rsidRPr="00A2344C" w:rsidRDefault="00E749C8">
      <w:pPr>
        <w:rPr>
          <w:rFonts w:ascii="Arial" w:hAnsi="Arial" w:cs="Arial"/>
          <w:bCs/>
          <w:sz w:val="22"/>
          <w:szCs w:val="22"/>
          <w:lang w:val="en-GB"/>
        </w:rPr>
      </w:pPr>
      <w:r w:rsidRPr="00A2344C">
        <w:rPr>
          <w:rFonts w:ascii="Arial" w:hAnsi="Arial" w:cs="Arial"/>
          <w:bCs/>
          <w:sz w:val="22"/>
          <w:szCs w:val="22"/>
          <w:lang w:val="en-GB"/>
        </w:rPr>
        <w:t xml:space="preserve">[Name of Institution], [Name of </w:t>
      </w:r>
      <w:r w:rsidR="00DE7E27">
        <w:rPr>
          <w:rFonts w:ascii="Arial" w:hAnsi="Arial" w:cs="Arial"/>
          <w:bCs/>
          <w:sz w:val="22"/>
          <w:szCs w:val="22"/>
          <w:lang w:val="en-GB"/>
        </w:rPr>
        <w:t>Accounting</w:t>
      </w:r>
      <w:r w:rsidRPr="00A2344C">
        <w:rPr>
          <w:rFonts w:ascii="Arial" w:hAnsi="Arial" w:cs="Arial"/>
          <w:bCs/>
          <w:sz w:val="22"/>
          <w:szCs w:val="22"/>
          <w:lang w:val="en-GB"/>
        </w:rPr>
        <w:t xml:space="preserve"> Academic Unit]</w:t>
      </w:r>
    </w:p>
    <w:p w14:paraId="6EE69431" w14:textId="77777777" w:rsidR="00AA7276" w:rsidRPr="00A2344C" w:rsidRDefault="00AA7276">
      <w:pPr>
        <w:rPr>
          <w:rFonts w:ascii="Arial" w:hAnsi="Arial" w:cs="Arial"/>
          <w:bCs/>
          <w:sz w:val="22"/>
          <w:szCs w:val="22"/>
          <w:lang w:val="en-GB"/>
        </w:rPr>
      </w:pPr>
      <w:r w:rsidRPr="00A2344C">
        <w:rPr>
          <w:rFonts w:ascii="Arial" w:hAnsi="Arial" w:cs="Arial"/>
          <w:bCs/>
          <w:sz w:val="22"/>
          <w:szCs w:val="22"/>
          <w:lang w:val="en-GB"/>
        </w:rPr>
        <w:t>[</w:t>
      </w:r>
      <w:r w:rsidR="00774E3C" w:rsidRPr="00A2344C">
        <w:rPr>
          <w:rFonts w:ascii="Arial" w:hAnsi="Arial" w:cs="Arial"/>
          <w:bCs/>
          <w:sz w:val="22"/>
          <w:szCs w:val="22"/>
          <w:lang w:val="en-GB"/>
        </w:rPr>
        <w:t>I</w:t>
      </w:r>
      <w:r w:rsidRPr="00A2344C">
        <w:rPr>
          <w:rFonts w:ascii="Arial" w:hAnsi="Arial" w:cs="Arial"/>
          <w:bCs/>
          <w:sz w:val="22"/>
          <w:szCs w:val="22"/>
          <w:lang w:val="en-GB"/>
        </w:rPr>
        <w:t>nsert Name Dean</w:t>
      </w:r>
      <w:r w:rsidR="00844634" w:rsidRPr="00A2344C">
        <w:rPr>
          <w:rFonts w:ascii="Arial" w:hAnsi="Arial" w:cs="Arial"/>
          <w:bCs/>
          <w:sz w:val="22"/>
          <w:szCs w:val="22"/>
          <w:lang w:val="en-GB"/>
        </w:rPr>
        <w:t>/H</w:t>
      </w:r>
      <w:r w:rsidRPr="00A2344C">
        <w:rPr>
          <w:rFonts w:ascii="Arial" w:hAnsi="Arial" w:cs="Arial"/>
          <w:bCs/>
          <w:sz w:val="22"/>
          <w:szCs w:val="22"/>
          <w:lang w:val="en-GB"/>
        </w:rPr>
        <w:t>ead of unit], [Insert Name accreditation contact person</w:t>
      </w:r>
      <w:r w:rsidR="00844634" w:rsidRPr="00A2344C">
        <w:rPr>
          <w:rFonts w:ascii="Arial" w:hAnsi="Arial" w:cs="Arial"/>
          <w:bCs/>
          <w:sz w:val="22"/>
          <w:szCs w:val="22"/>
          <w:lang w:val="en-GB"/>
        </w:rPr>
        <w:t xml:space="preserve"> if different than Dean/Head of unit</w:t>
      </w:r>
      <w:r w:rsidRPr="00A2344C">
        <w:rPr>
          <w:rFonts w:ascii="Arial" w:hAnsi="Arial" w:cs="Arial"/>
          <w:bCs/>
          <w:sz w:val="22"/>
          <w:szCs w:val="22"/>
          <w:lang w:val="en-GB"/>
        </w:rPr>
        <w:t>]</w:t>
      </w:r>
    </w:p>
    <w:p w14:paraId="1ED00707" w14:textId="77777777" w:rsidR="00E749C8" w:rsidRPr="00A2344C" w:rsidRDefault="00E749C8">
      <w:pPr>
        <w:rPr>
          <w:rFonts w:ascii="Arial" w:hAnsi="Arial" w:cs="Arial"/>
          <w:bCs/>
          <w:sz w:val="22"/>
          <w:szCs w:val="22"/>
          <w:lang w:val="en-GB"/>
        </w:rPr>
      </w:pPr>
      <w:r w:rsidRPr="00A2344C">
        <w:rPr>
          <w:rFonts w:ascii="Arial" w:hAnsi="Arial" w:cs="Arial"/>
          <w:bCs/>
          <w:sz w:val="22"/>
          <w:szCs w:val="22"/>
          <w:lang w:val="en-GB"/>
        </w:rPr>
        <w:t>[Insert Name of Mentor], Mentor</w:t>
      </w:r>
    </w:p>
    <w:p w14:paraId="2DAA5F40" w14:textId="77777777" w:rsidR="00E749C8" w:rsidRPr="00A2344C" w:rsidRDefault="00E749C8">
      <w:pPr>
        <w:pStyle w:val="Heading1"/>
        <w:rPr>
          <w:rFonts w:ascii="Arial" w:hAnsi="Arial" w:cs="Arial"/>
          <w:sz w:val="22"/>
          <w:szCs w:val="22"/>
        </w:rPr>
      </w:pPr>
      <w:r w:rsidRPr="00A2344C">
        <w:rPr>
          <w:rFonts w:ascii="Arial" w:hAnsi="Arial" w:cs="Arial"/>
          <w:b w:val="0"/>
          <w:sz w:val="22"/>
          <w:szCs w:val="22"/>
          <w:lang w:val="en-GB"/>
        </w:rPr>
        <w:t>[Insert Visit Dates]</w:t>
      </w:r>
    </w:p>
    <w:p w14:paraId="7C14ED91" w14:textId="77777777" w:rsidR="00E749C8" w:rsidRPr="00A2344C" w:rsidRDefault="00E749C8">
      <w:pPr>
        <w:rPr>
          <w:rFonts w:ascii="Arial" w:hAnsi="Arial" w:cs="Arial"/>
          <w:b/>
          <w:bCs/>
          <w:sz w:val="22"/>
          <w:szCs w:val="22"/>
        </w:rPr>
      </w:pPr>
    </w:p>
    <w:p w14:paraId="49EAD347" w14:textId="77777777" w:rsidR="00E749C8" w:rsidRPr="00A2344C" w:rsidRDefault="00E749C8">
      <w:pPr>
        <w:pStyle w:val="Heading2"/>
        <w:rPr>
          <w:rFonts w:ascii="Arial" w:hAnsi="Arial" w:cs="Arial"/>
          <w:sz w:val="22"/>
          <w:szCs w:val="22"/>
        </w:rPr>
      </w:pPr>
      <w:r w:rsidRPr="00A2344C">
        <w:rPr>
          <w:rFonts w:ascii="Arial" w:hAnsi="Arial" w:cs="Arial"/>
          <w:sz w:val="22"/>
          <w:szCs w:val="22"/>
        </w:rPr>
        <w:t>Introduction</w:t>
      </w:r>
    </w:p>
    <w:p w14:paraId="50B83185" w14:textId="77777777" w:rsidR="00E749C8" w:rsidRPr="00A2344C" w:rsidRDefault="00E749C8">
      <w:pPr>
        <w:rPr>
          <w:rFonts w:ascii="Arial" w:hAnsi="Arial" w:cs="Arial"/>
          <w:b/>
          <w:bCs/>
          <w:sz w:val="22"/>
          <w:szCs w:val="22"/>
          <w:u w:val="single"/>
        </w:rPr>
      </w:pPr>
    </w:p>
    <w:p w14:paraId="45509648" w14:textId="77777777" w:rsidR="00E749C8" w:rsidRPr="00A2344C" w:rsidRDefault="00E749C8">
      <w:pPr>
        <w:rPr>
          <w:rFonts w:ascii="Arial" w:hAnsi="Arial" w:cs="Arial"/>
          <w:sz w:val="22"/>
          <w:szCs w:val="22"/>
        </w:rPr>
      </w:pPr>
      <w:r w:rsidRPr="00A2344C">
        <w:rPr>
          <w:rFonts w:ascii="Arial" w:hAnsi="Arial" w:cs="Arial"/>
          <w:sz w:val="22"/>
          <w:szCs w:val="22"/>
        </w:rPr>
        <w:t>This report is based on my first site visit to [name of in</w:t>
      </w:r>
      <w:r w:rsidR="00416183">
        <w:rPr>
          <w:rFonts w:ascii="Arial" w:hAnsi="Arial" w:cs="Arial"/>
          <w:sz w:val="22"/>
          <w:szCs w:val="22"/>
        </w:rPr>
        <w:t>stitution</w:t>
      </w:r>
      <w:proofErr w:type="gramStart"/>
      <w:r w:rsidR="00416183">
        <w:rPr>
          <w:rFonts w:ascii="Arial" w:hAnsi="Arial" w:cs="Arial"/>
          <w:sz w:val="22"/>
          <w:szCs w:val="22"/>
        </w:rPr>
        <w:t>]</w:t>
      </w:r>
      <w:r w:rsidRPr="00A2344C">
        <w:rPr>
          <w:rFonts w:ascii="Arial" w:hAnsi="Arial" w:cs="Arial"/>
          <w:sz w:val="22"/>
          <w:szCs w:val="22"/>
        </w:rPr>
        <w:t xml:space="preserve"> .</w:t>
      </w:r>
      <w:proofErr w:type="gramEnd"/>
      <w:r w:rsidRPr="00A2344C">
        <w:rPr>
          <w:rFonts w:ascii="Arial" w:hAnsi="Arial" w:cs="Arial"/>
          <w:sz w:val="22"/>
          <w:szCs w:val="22"/>
        </w:rPr>
        <w:t xml:space="preserve">  </w:t>
      </w:r>
    </w:p>
    <w:p w14:paraId="3FA20F43" w14:textId="77777777" w:rsidR="00E749C8" w:rsidRPr="00A2344C" w:rsidRDefault="00E749C8">
      <w:pPr>
        <w:rPr>
          <w:rFonts w:ascii="Arial" w:hAnsi="Arial" w:cs="Arial"/>
          <w:sz w:val="22"/>
          <w:szCs w:val="22"/>
        </w:rPr>
      </w:pPr>
    </w:p>
    <w:p w14:paraId="473065A4" w14:textId="5FCFA36B" w:rsidR="00E749C8" w:rsidRPr="00A2344C" w:rsidRDefault="00E749C8">
      <w:pPr>
        <w:rPr>
          <w:rFonts w:ascii="Arial" w:hAnsi="Arial" w:cs="Arial"/>
          <w:sz w:val="22"/>
          <w:szCs w:val="22"/>
        </w:rPr>
      </w:pPr>
      <w:r w:rsidRPr="00A2344C">
        <w:rPr>
          <w:rFonts w:ascii="Arial" w:hAnsi="Arial" w:cs="Arial"/>
          <w:sz w:val="22"/>
          <w:szCs w:val="22"/>
        </w:rPr>
        <w:t>[</w:t>
      </w:r>
      <w:r w:rsidRPr="00BF74E7">
        <w:rPr>
          <w:rFonts w:ascii="Arial" w:hAnsi="Arial" w:cs="Arial"/>
          <w:i/>
          <w:iCs/>
          <w:sz w:val="22"/>
          <w:szCs w:val="22"/>
        </w:rPr>
        <w:t xml:space="preserve">Insert name of </w:t>
      </w:r>
      <w:r w:rsidR="00AA7276" w:rsidRPr="00BF74E7">
        <w:rPr>
          <w:rFonts w:ascii="Arial" w:hAnsi="Arial" w:cs="Arial"/>
          <w:i/>
          <w:iCs/>
          <w:sz w:val="22"/>
          <w:szCs w:val="22"/>
        </w:rPr>
        <w:t>accreditation unit</w:t>
      </w:r>
      <w:r w:rsidR="00F34E2E">
        <w:rPr>
          <w:rFonts w:ascii="Arial" w:hAnsi="Arial" w:cs="Arial"/>
          <w:sz w:val="22"/>
          <w:szCs w:val="22"/>
        </w:rPr>
        <w:t>]</w:t>
      </w:r>
      <w:r w:rsidR="00AA7276" w:rsidRPr="00A2344C">
        <w:rPr>
          <w:rFonts w:ascii="Arial" w:hAnsi="Arial" w:cs="Arial"/>
          <w:sz w:val="22"/>
          <w:szCs w:val="22"/>
        </w:rPr>
        <w:t xml:space="preserve"> </w:t>
      </w:r>
      <w:r w:rsidRPr="00A2344C">
        <w:rPr>
          <w:rFonts w:ascii="Arial" w:hAnsi="Arial" w:cs="Arial"/>
          <w:sz w:val="22"/>
          <w:szCs w:val="22"/>
        </w:rPr>
        <w:t xml:space="preserve">was well organized for the site visit, which included a range of meetings with faculty, </w:t>
      </w:r>
      <w:proofErr w:type="gramStart"/>
      <w:r w:rsidRPr="00A2344C">
        <w:rPr>
          <w:rFonts w:ascii="Arial" w:hAnsi="Arial" w:cs="Arial"/>
          <w:sz w:val="22"/>
          <w:szCs w:val="22"/>
        </w:rPr>
        <w:t>staff</w:t>
      </w:r>
      <w:proofErr w:type="gramEnd"/>
      <w:r w:rsidRPr="00A2344C">
        <w:rPr>
          <w:rFonts w:ascii="Arial" w:hAnsi="Arial" w:cs="Arial"/>
          <w:sz w:val="22"/>
          <w:szCs w:val="22"/>
        </w:rPr>
        <w:t xml:space="preserve"> and students.  (Please see attached visit schedule.)</w:t>
      </w:r>
    </w:p>
    <w:p w14:paraId="26B8186D" w14:textId="77777777" w:rsidR="00E749C8" w:rsidRPr="00A2344C" w:rsidRDefault="00E749C8">
      <w:pPr>
        <w:rPr>
          <w:rFonts w:ascii="Arial" w:hAnsi="Arial" w:cs="Arial"/>
          <w:sz w:val="22"/>
          <w:szCs w:val="22"/>
        </w:rPr>
      </w:pPr>
    </w:p>
    <w:p w14:paraId="7F8DCAE3" w14:textId="64CF3DE8" w:rsidR="00E749C8" w:rsidRPr="00A2344C" w:rsidRDefault="00E749C8">
      <w:pPr>
        <w:rPr>
          <w:rFonts w:ascii="Arial" w:hAnsi="Arial" w:cs="Arial"/>
          <w:sz w:val="22"/>
          <w:szCs w:val="22"/>
        </w:rPr>
      </w:pPr>
      <w:r w:rsidRPr="00A2344C">
        <w:rPr>
          <w:rFonts w:ascii="Arial" w:hAnsi="Arial" w:cs="Arial"/>
          <w:sz w:val="22"/>
          <w:szCs w:val="22"/>
        </w:rPr>
        <w:t>During the visit</w:t>
      </w:r>
      <w:r w:rsidR="009A7B41">
        <w:rPr>
          <w:rFonts w:ascii="Arial" w:hAnsi="Arial" w:cs="Arial"/>
          <w:sz w:val="22"/>
          <w:szCs w:val="22"/>
        </w:rPr>
        <w:t>,</w:t>
      </w:r>
      <w:r w:rsidRPr="00A2344C">
        <w:rPr>
          <w:rFonts w:ascii="Arial" w:hAnsi="Arial" w:cs="Arial"/>
          <w:sz w:val="22"/>
          <w:szCs w:val="22"/>
        </w:rPr>
        <w:t xml:space="preserve"> I had meetings with the </w:t>
      </w:r>
      <w:r w:rsidR="0060165E" w:rsidRPr="00BF74E7">
        <w:rPr>
          <w:rFonts w:ascii="Arial" w:hAnsi="Arial" w:cs="Arial"/>
          <w:i/>
          <w:iCs/>
          <w:sz w:val="22"/>
          <w:szCs w:val="22"/>
        </w:rPr>
        <w:t>[</w:t>
      </w:r>
      <w:r w:rsidR="006C5C5D" w:rsidRPr="00BF74E7">
        <w:rPr>
          <w:rFonts w:ascii="Arial" w:hAnsi="Arial" w:cs="Arial"/>
          <w:i/>
          <w:iCs/>
          <w:sz w:val="22"/>
          <w:szCs w:val="22"/>
        </w:rPr>
        <w:t xml:space="preserve">insert </w:t>
      </w:r>
      <w:r w:rsidR="003D76C0" w:rsidRPr="00BF74E7">
        <w:rPr>
          <w:rFonts w:ascii="Arial" w:hAnsi="Arial" w:cs="Arial"/>
          <w:i/>
          <w:iCs/>
          <w:sz w:val="22"/>
          <w:szCs w:val="22"/>
        </w:rPr>
        <w:t xml:space="preserve">the parties with whom you met, examples </w:t>
      </w:r>
      <w:proofErr w:type="gramStart"/>
      <w:r w:rsidR="003D76C0" w:rsidRPr="00BF74E7">
        <w:rPr>
          <w:rFonts w:ascii="Arial" w:hAnsi="Arial" w:cs="Arial"/>
          <w:i/>
          <w:iCs/>
          <w:sz w:val="22"/>
          <w:szCs w:val="22"/>
        </w:rPr>
        <w:t>include:</w:t>
      </w:r>
      <w:proofErr w:type="gramEnd"/>
      <w:r w:rsidR="003D76C0" w:rsidRPr="00BF74E7">
        <w:rPr>
          <w:rFonts w:ascii="Arial" w:hAnsi="Arial" w:cs="Arial"/>
          <w:i/>
          <w:iCs/>
          <w:sz w:val="22"/>
          <w:szCs w:val="22"/>
        </w:rPr>
        <w:t xml:space="preserve"> </w:t>
      </w:r>
      <w:r w:rsidRPr="00BF74E7">
        <w:rPr>
          <w:rFonts w:ascii="Arial" w:hAnsi="Arial" w:cs="Arial"/>
          <w:i/>
          <w:iCs/>
          <w:sz w:val="22"/>
          <w:szCs w:val="22"/>
        </w:rPr>
        <w:t>Director of Admissions, faculty members, students, Deputy Superintendent for Academics and Dean of the Faculty</w:t>
      </w:r>
      <w:r w:rsidR="00F34E2E">
        <w:rPr>
          <w:rFonts w:ascii="Arial" w:hAnsi="Arial" w:cs="Arial"/>
          <w:sz w:val="22"/>
          <w:szCs w:val="22"/>
        </w:rPr>
        <w:t>]</w:t>
      </w:r>
      <w:r w:rsidRPr="00A2344C">
        <w:rPr>
          <w:rFonts w:ascii="Arial" w:hAnsi="Arial" w:cs="Arial"/>
          <w:sz w:val="22"/>
          <w:szCs w:val="22"/>
        </w:rPr>
        <w:t>.  All parties were genuinely supportive of the pursuit of AACSB accreditation.</w:t>
      </w:r>
    </w:p>
    <w:p w14:paraId="7DAD56A1" w14:textId="77777777" w:rsidR="00E749C8" w:rsidRPr="00A2344C" w:rsidRDefault="00E749C8">
      <w:pPr>
        <w:rPr>
          <w:rFonts w:ascii="Arial" w:hAnsi="Arial" w:cs="Arial"/>
          <w:sz w:val="22"/>
          <w:szCs w:val="22"/>
        </w:rPr>
      </w:pPr>
    </w:p>
    <w:p w14:paraId="7DE15B8A" w14:textId="77777777" w:rsidR="00E749C8" w:rsidRPr="00A2344C" w:rsidRDefault="00E749C8">
      <w:pPr>
        <w:rPr>
          <w:rFonts w:ascii="Arial" w:hAnsi="Arial" w:cs="Arial"/>
          <w:sz w:val="22"/>
          <w:szCs w:val="22"/>
        </w:rPr>
      </w:pPr>
      <w:r w:rsidRPr="00A2344C">
        <w:rPr>
          <w:rFonts w:ascii="Arial" w:hAnsi="Arial" w:cs="Arial"/>
          <w:sz w:val="22"/>
          <w:szCs w:val="22"/>
        </w:rPr>
        <w:t xml:space="preserve">In addition to learning more about the unique culture of [name of institution], the main issues addressed during this first visit focused on the concerns outlined by the </w:t>
      </w:r>
      <w:r w:rsidR="00DE7E27">
        <w:rPr>
          <w:rFonts w:ascii="Arial" w:hAnsi="Arial" w:cs="Arial"/>
          <w:sz w:val="22"/>
          <w:szCs w:val="22"/>
        </w:rPr>
        <w:t>Accounting</w:t>
      </w:r>
      <w:r w:rsidR="00434324" w:rsidRPr="00A2344C">
        <w:rPr>
          <w:rFonts w:ascii="Arial" w:hAnsi="Arial" w:cs="Arial"/>
          <w:sz w:val="22"/>
          <w:szCs w:val="22"/>
        </w:rPr>
        <w:t xml:space="preserve"> </w:t>
      </w:r>
      <w:r w:rsidRPr="00A2344C">
        <w:rPr>
          <w:rFonts w:ascii="Arial" w:hAnsi="Arial" w:cs="Arial"/>
          <w:sz w:val="22"/>
          <w:szCs w:val="22"/>
        </w:rPr>
        <w:t>Accreditation Committee (</w:t>
      </w:r>
      <w:r w:rsidR="00DE7E27">
        <w:rPr>
          <w:rFonts w:ascii="Arial" w:hAnsi="Arial" w:cs="Arial"/>
          <w:sz w:val="22"/>
          <w:szCs w:val="22"/>
        </w:rPr>
        <w:t>A</w:t>
      </w:r>
      <w:r w:rsidRPr="00A2344C">
        <w:rPr>
          <w:rFonts w:ascii="Arial" w:hAnsi="Arial" w:cs="Arial"/>
          <w:sz w:val="22"/>
          <w:szCs w:val="22"/>
        </w:rPr>
        <w:t>AC) which include:</w:t>
      </w:r>
    </w:p>
    <w:p w14:paraId="4981C37B" w14:textId="77777777" w:rsidR="00E749C8" w:rsidRPr="00A2344C" w:rsidRDefault="00E749C8">
      <w:pPr>
        <w:rPr>
          <w:rFonts w:ascii="Arial" w:hAnsi="Arial" w:cs="Arial"/>
          <w:sz w:val="22"/>
          <w:szCs w:val="22"/>
        </w:rPr>
      </w:pPr>
    </w:p>
    <w:p w14:paraId="12351363" w14:textId="3EA6F15E" w:rsidR="00E749C8" w:rsidRPr="00BF74E7" w:rsidRDefault="00774E3C">
      <w:pPr>
        <w:rPr>
          <w:rFonts w:ascii="Arial" w:hAnsi="Arial" w:cs="Arial"/>
          <w:i/>
          <w:iCs/>
          <w:sz w:val="22"/>
          <w:szCs w:val="22"/>
        </w:rPr>
      </w:pPr>
      <w:r w:rsidRPr="00A2344C">
        <w:rPr>
          <w:rFonts w:ascii="Arial" w:hAnsi="Arial" w:cs="Arial"/>
          <w:sz w:val="22"/>
          <w:szCs w:val="22"/>
        </w:rPr>
        <w:t>[</w:t>
      </w:r>
      <w:r w:rsidRPr="00BF74E7">
        <w:rPr>
          <w:rFonts w:ascii="Arial" w:hAnsi="Arial" w:cs="Arial"/>
          <w:i/>
          <w:iCs/>
          <w:sz w:val="22"/>
          <w:szCs w:val="22"/>
        </w:rPr>
        <w:t>I</w:t>
      </w:r>
      <w:r w:rsidR="00E749C8" w:rsidRPr="00BF74E7">
        <w:rPr>
          <w:rFonts w:ascii="Arial" w:hAnsi="Arial" w:cs="Arial"/>
          <w:i/>
          <w:iCs/>
          <w:sz w:val="22"/>
          <w:szCs w:val="22"/>
        </w:rPr>
        <w:t>nsert</w:t>
      </w:r>
      <w:r w:rsidR="00844634" w:rsidRPr="00BF74E7">
        <w:rPr>
          <w:rFonts w:ascii="Arial" w:hAnsi="Arial" w:cs="Arial"/>
          <w:i/>
          <w:iCs/>
          <w:sz w:val="22"/>
          <w:szCs w:val="22"/>
        </w:rPr>
        <w:t xml:space="preserve"> here</w:t>
      </w:r>
      <w:r w:rsidR="00E749C8" w:rsidRPr="00BF74E7">
        <w:rPr>
          <w:rFonts w:ascii="Arial" w:hAnsi="Arial" w:cs="Arial"/>
          <w:i/>
          <w:iCs/>
          <w:sz w:val="22"/>
          <w:szCs w:val="22"/>
        </w:rPr>
        <w:t xml:space="preserve"> concerns highlighted in </w:t>
      </w:r>
      <w:r w:rsidR="00DE7E27" w:rsidRPr="00BF74E7">
        <w:rPr>
          <w:rFonts w:ascii="Arial" w:hAnsi="Arial" w:cs="Arial"/>
          <w:i/>
          <w:iCs/>
          <w:sz w:val="22"/>
          <w:szCs w:val="22"/>
        </w:rPr>
        <w:t>A</w:t>
      </w:r>
      <w:r w:rsidR="00E749C8" w:rsidRPr="00BF74E7">
        <w:rPr>
          <w:rFonts w:ascii="Arial" w:hAnsi="Arial" w:cs="Arial"/>
          <w:i/>
          <w:iCs/>
          <w:sz w:val="22"/>
          <w:szCs w:val="22"/>
        </w:rPr>
        <w:t>AC decision letter</w:t>
      </w:r>
      <w:r w:rsidR="00E749C8" w:rsidRPr="00A2344C">
        <w:rPr>
          <w:rFonts w:ascii="Arial" w:hAnsi="Arial" w:cs="Arial"/>
          <w:sz w:val="22"/>
          <w:szCs w:val="22"/>
        </w:rPr>
        <w:t xml:space="preserve">] </w:t>
      </w:r>
    </w:p>
    <w:p w14:paraId="19357E4E" w14:textId="77777777" w:rsidR="00E749C8" w:rsidRPr="00A2344C" w:rsidRDefault="00E749C8">
      <w:pPr>
        <w:rPr>
          <w:rFonts w:ascii="Arial" w:hAnsi="Arial" w:cs="Arial"/>
          <w:sz w:val="22"/>
          <w:szCs w:val="22"/>
        </w:rPr>
      </w:pPr>
    </w:p>
    <w:p w14:paraId="343B38CC" w14:textId="258689F4" w:rsidR="00E749C8" w:rsidRPr="00A2344C" w:rsidRDefault="006C6D67">
      <w:pPr>
        <w:numPr>
          <w:ilvl w:val="0"/>
          <w:numId w:val="1"/>
        </w:numPr>
        <w:rPr>
          <w:rFonts w:ascii="Arial" w:hAnsi="Arial" w:cs="Arial"/>
          <w:sz w:val="22"/>
          <w:szCs w:val="22"/>
        </w:rPr>
      </w:pPr>
      <w:r w:rsidRPr="00BF74E7">
        <w:rPr>
          <w:rFonts w:ascii="Arial" w:hAnsi="Arial" w:cs="Arial"/>
          <w:i/>
          <w:iCs/>
          <w:sz w:val="22"/>
          <w:szCs w:val="22"/>
        </w:rPr>
        <w:t>[issue here</w:t>
      </w:r>
      <w:r>
        <w:rPr>
          <w:rFonts w:ascii="Arial" w:hAnsi="Arial" w:cs="Arial"/>
          <w:sz w:val="22"/>
          <w:szCs w:val="22"/>
        </w:rPr>
        <w:t>]</w:t>
      </w:r>
    </w:p>
    <w:p w14:paraId="5EFEC85E" w14:textId="77777777" w:rsidR="00E749C8" w:rsidRPr="00A2344C" w:rsidRDefault="00E749C8">
      <w:pPr>
        <w:ind w:left="360"/>
        <w:rPr>
          <w:rFonts w:ascii="Arial" w:hAnsi="Arial" w:cs="Arial"/>
          <w:sz w:val="22"/>
          <w:szCs w:val="22"/>
        </w:rPr>
      </w:pPr>
    </w:p>
    <w:p w14:paraId="472BFD70" w14:textId="77777777" w:rsidR="00B25C18" w:rsidRPr="004879BD" w:rsidRDefault="00B25C18" w:rsidP="00BF74E7">
      <w:pPr>
        <w:numPr>
          <w:ilvl w:val="0"/>
          <w:numId w:val="1"/>
        </w:numPr>
        <w:rPr>
          <w:rFonts w:ascii="Arial" w:hAnsi="Arial" w:cs="Arial"/>
          <w:sz w:val="22"/>
          <w:szCs w:val="22"/>
        </w:rPr>
      </w:pPr>
    </w:p>
    <w:p w14:paraId="5196F74D" w14:textId="77777777" w:rsidR="000A614A" w:rsidRDefault="00B25C18" w:rsidP="00B25C18">
      <w:pPr>
        <w:rPr>
          <w:rFonts w:ascii="Arial" w:hAnsi="Arial" w:cs="Arial"/>
          <w:sz w:val="22"/>
          <w:szCs w:val="22"/>
        </w:rPr>
        <w:sectPr w:rsidR="000A614A" w:rsidSect="000A614A">
          <w:headerReference w:type="default" r:id="rId12"/>
          <w:footerReference w:type="even" r:id="rId13"/>
          <w:footerReference w:type="default" r:id="rId14"/>
          <w:headerReference w:type="first" r:id="rId15"/>
          <w:footerReference w:type="first" r:id="rId16"/>
          <w:pgSz w:w="12240" w:h="15840"/>
          <w:pgMar w:top="1296" w:right="720" w:bottom="1152" w:left="720" w:header="720" w:footer="720" w:gutter="0"/>
          <w:cols w:space="720"/>
          <w:titlePg/>
          <w:docGrid w:linePitch="360"/>
        </w:sectPr>
      </w:pPr>
      <w:r>
        <w:rPr>
          <w:rFonts w:ascii="Arial" w:hAnsi="Arial" w:cs="Arial"/>
          <w:sz w:val="22"/>
          <w:szCs w:val="22"/>
        </w:rP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6480"/>
      </w:tblGrid>
      <w:tr w:rsidR="00F10487" w:rsidRPr="00BA34F3" w14:paraId="5949ABB2" w14:textId="77777777" w:rsidTr="000A614A">
        <w:trPr>
          <w:trHeight w:val="260"/>
        </w:trPr>
        <w:tc>
          <w:tcPr>
            <w:tcW w:w="7915" w:type="dxa"/>
            <w:vAlign w:val="center"/>
          </w:tcPr>
          <w:p w14:paraId="522A6132" w14:textId="77777777" w:rsidR="00A83F91" w:rsidRDefault="00DE7E27" w:rsidP="00DE7E27">
            <w:pPr>
              <w:jc w:val="center"/>
              <w:rPr>
                <w:rFonts w:ascii="Arial" w:hAnsi="Arial" w:cs="Arial"/>
                <w:b/>
                <w:sz w:val="20"/>
                <w:szCs w:val="20"/>
              </w:rPr>
            </w:pPr>
            <w:r w:rsidRPr="00DE7E27">
              <w:rPr>
                <w:rFonts w:ascii="Arial" w:hAnsi="Arial" w:cs="Arial"/>
                <w:b/>
                <w:sz w:val="20"/>
                <w:szCs w:val="20"/>
              </w:rPr>
              <w:lastRenderedPageBreak/>
              <w:br w:type="page"/>
              <w:t xml:space="preserve">Strategic Management and Innovation for </w:t>
            </w:r>
          </w:p>
          <w:p w14:paraId="3EDF9FF1" w14:textId="77777777" w:rsidR="00F10487" w:rsidRPr="00DE7E27" w:rsidRDefault="00DE7E27" w:rsidP="00DE7E27">
            <w:pPr>
              <w:jc w:val="center"/>
              <w:rPr>
                <w:rFonts w:ascii="Arial" w:hAnsi="Arial" w:cs="Arial"/>
                <w:b/>
                <w:sz w:val="20"/>
                <w:szCs w:val="20"/>
              </w:rPr>
            </w:pPr>
            <w:r w:rsidRPr="00DE7E27">
              <w:rPr>
                <w:rFonts w:ascii="Arial" w:hAnsi="Arial" w:cs="Arial"/>
                <w:b/>
                <w:sz w:val="20"/>
                <w:szCs w:val="20"/>
              </w:rPr>
              <w:t>Accounting Academic Units</w:t>
            </w:r>
            <w:r w:rsidR="00A83F91">
              <w:rPr>
                <w:rFonts w:ascii="Arial" w:hAnsi="Arial" w:cs="Arial"/>
                <w:b/>
                <w:sz w:val="20"/>
                <w:szCs w:val="20"/>
              </w:rPr>
              <w:t xml:space="preserve"> Standards</w:t>
            </w:r>
          </w:p>
        </w:tc>
        <w:tc>
          <w:tcPr>
            <w:tcW w:w="6480" w:type="dxa"/>
            <w:vAlign w:val="center"/>
          </w:tcPr>
          <w:p w14:paraId="2407C628" w14:textId="77777777" w:rsidR="00F10487" w:rsidRPr="00BA34F3" w:rsidRDefault="00F10487" w:rsidP="00BA34F3">
            <w:pPr>
              <w:pStyle w:val="Heading1"/>
              <w:jc w:val="center"/>
              <w:rPr>
                <w:rFonts w:ascii="Arial" w:hAnsi="Arial" w:cs="Arial"/>
                <w:bCs w:val="0"/>
                <w:sz w:val="20"/>
                <w:szCs w:val="20"/>
              </w:rPr>
            </w:pPr>
            <w:r w:rsidRPr="00BA34F3">
              <w:rPr>
                <w:rFonts w:ascii="Arial" w:hAnsi="Arial" w:cs="Arial"/>
                <w:bCs w:val="0"/>
                <w:sz w:val="20"/>
                <w:szCs w:val="20"/>
              </w:rPr>
              <w:t>QUESTIONS/COMMENTS</w:t>
            </w:r>
          </w:p>
        </w:tc>
      </w:tr>
      <w:tr w:rsidR="001A1081" w:rsidRPr="00BA34F3" w14:paraId="6016DBC3" w14:textId="77777777" w:rsidTr="00843AC9">
        <w:trPr>
          <w:trHeight w:val="1394"/>
        </w:trPr>
        <w:tc>
          <w:tcPr>
            <w:tcW w:w="7915" w:type="dxa"/>
          </w:tcPr>
          <w:p w14:paraId="7A4CAA38" w14:textId="77777777" w:rsidR="00DE7E27" w:rsidRPr="00A83F91" w:rsidRDefault="00DE7E27" w:rsidP="001A1081">
            <w:pPr>
              <w:rPr>
                <w:rFonts w:ascii="Arial" w:hAnsi="Arial" w:cs="Arial"/>
                <w:sz w:val="20"/>
                <w:szCs w:val="20"/>
                <w:u w:val="single"/>
              </w:rPr>
            </w:pPr>
            <w:r w:rsidRPr="00A83F91">
              <w:rPr>
                <w:rFonts w:ascii="Arial" w:hAnsi="Arial" w:cs="Arial"/>
                <w:sz w:val="20"/>
                <w:szCs w:val="20"/>
                <w:u w:val="single"/>
              </w:rPr>
              <w:t xml:space="preserve">A1. Accounting Academic Unit Mission, Impact, and Innovation </w:t>
            </w:r>
          </w:p>
          <w:p w14:paraId="6A2B2F63" w14:textId="6F4E95CF" w:rsidR="001A1081" w:rsidRPr="00BA34F3" w:rsidRDefault="00CE1DF2" w:rsidP="00CE1DF2">
            <w:pPr>
              <w:rPr>
                <w:rFonts w:ascii="Arial" w:hAnsi="Arial" w:cs="Arial"/>
                <w:sz w:val="20"/>
                <w:szCs w:val="20"/>
              </w:rPr>
            </w:pPr>
            <w:r w:rsidRPr="00CE1DF2">
              <w:rPr>
                <w:rFonts w:ascii="Arial" w:hAnsi="Arial" w:cs="Arial"/>
                <w:sz w:val="20"/>
                <w:szCs w:val="20"/>
              </w:rPr>
              <w:t>The accounting academic unit articulates a clear and distinctive</w:t>
            </w:r>
            <w:r>
              <w:rPr>
                <w:rFonts w:ascii="Arial" w:hAnsi="Arial" w:cs="Arial"/>
                <w:sz w:val="20"/>
                <w:szCs w:val="20"/>
              </w:rPr>
              <w:t xml:space="preserve"> </w:t>
            </w:r>
            <w:r w:rsidRPr="00CE1DF2">
              <w:rPr>
                <w:rFonts w:ascii="Arial" w:hAnsi="Arial" w:cs="Arial"/>
                <w:sz w:val="20"/>
                <w:szCs w:val="20"/>
              </w:rPr>
              <w:t>mission that is aligned with the business school and institution. The accounting</w:t>
            </w:r>
            <w:r>
              <w:rPr>
                <w:rFonts w:ascii="Arial" w:hAnsi="Arial" w:cs="Arial"/>
                <w:sz w:val="20"/>
                <w:szCs w:val="20"/>
              </w:rPr>
              <w:t xml:space="preserve"> </w:t>
            </w:r>
            <w:r w:rsidRPr="00CE1DF2">
              <w:rPr>
                <w:rFonts w:ascii="Arial" w:hAnsi="Arial" w:cs="Arial"/>
                <w:sz w:val="20"/>
                <w:szCs w:val="20"/>
              </w:rPr>
              <w:t>academic unit has developed the expected outcomes this mission implies, and the</w:t>
            </w:r>
            <w:r>
              <w:rPr>
                <w:rFonts w:ascii="Arial" w:hAnsi="Arial" w:cs="Arial"/>
                <w:sz w:val="20"/>
                <w:szCs w:val="20"/>
              </w:rPr>
              <w:t xml:space="preserve"> </w:t>
            </w:r>
            <w:r w:rsidRPr="00CE1DF2">
              <w:rPr>
                <w:rFonts w:ascii="Arial" w:hAnsi="Arial" w:cs="Arial"/>
                <w:sz w:val="20"/>
                <w:szCs w:val="20"/>
              </w:rPr>
              <w:t>strategies it will employ to achieve these outcomes. The unit has a history of</w:t>
            </w:r>
            <w:r>
              <w:rPr>
                <w:rFonts w:ascii="Arial" w:hAnsi="Arial" w:cs="Arial"/>
                <w:sz w:val="20"/>
                <w:szCs w:val="20"/>
              </w:rPr>
              <w:t xml:space="preserve"> </w:t>
            </w:r>
            <w:r w:rsidRPr="00CE1DF2">
              <w:rPr>
                <w:rFonts w:ascii="Arial" w:hAnsi="Arial" w:cs="Arial"/>
                <w:sz w:val="20"/>
                <w:szCs w:val="20"/>
              </w:rPr>
              <w:t>achievement and continuous improvement and specifies future strategic priorities</w:t>
            </w:r>
          </w:p>
        </w:tc>
        <w:tc>
          <w:tcPr>
            <w:tcW w:w="6480" w:type="dxa"/>
          </w:tcPr>
          <w:p w14:paraId="15C5CB59" w14:textId="77777777" w:rsidR="001A1081" w:rsidRPr="00BA34F3" w:rsidRDefault="001A1081" w:rsidP="001A1081">
            <w:pPr>
              <w:rPr>
                <w:rFonts w:ascii="Arial" w:hAnsi="Arial" w:cs="Arial"/>
                <w:b/>
                <w:sz w:val="20"/>
                <w:szCs w:val="20"/>
              </w:rPr>
            </w:pPr>
          </w:p>
        </w:tc>
      </w:tr>
      <w:tr w:rsidR="001A1081" w:rsidRPr="00BA34F3" w14:paraId="26B0DFEB" w14:textId="77777777" w:rsidTr="00843AC9">
        <w:trPr>
          <w:trHeight w:val="971"/>
        </w:trPr>
        <w:tc>
          <w:tcPr>
            <w:tcW w:w="7915" w:type="dxa"/>
          </w:tcPr>
          <w:p w14:paraId="67F9BE26" w14:textId="77777777" w:rsidR="00A83F91" w:rsidRPr="00A83F91" w:rsidRDefault="00A83F91" w:rsidP="001A1081">
            <w:pPr>
              <w:rPr>
                <w:rFonts w:ascii="Arial" w:hAnsi="Arial" w:cs="Arial"/>
                <w:sz w:val="20"/>
                <w:szCs w:val="20"/>
                <w:u w:val="single"/>
              </w:rPr>
            </w:pPr>
            <w:r w:rsidRPr="00A83F91">
              <w:rPr>
                <w:rFonts w:ascii="Arial" w:hAnsi="Arial" w:cs="Arial"/>
                <w:sz w:val="20"/>
                <w:szCs w:val="20"/>
                <w:u w:val="single"/>
              </w:rPr>
              <w:t xml:space="preserve">A2. Accounting Intellectual Contributions, Impact, and Alignment with Mission </w:t>
            </w:r>
          </w:p>
          <w:p w14:paraId="7300B0BC" w14:textId="08AC1DA8" w:rsidR="001A1081" w:rsidRPr="00BA34F3" w:rsidRDefault="00C8503C" w:rsidP="001A1081">
            <w:pPr>
              <w:rPr>
                <w:rFonts w:ascii="Arial" w:hAnsi="Arial" w:cs="Arial"/>
                <w:sz w:val="20"/>
                <w:szCs w:val="20"/>
              </w:rPr>
            </w:pPr>
            <w:r w:rsidRPr="00BA34F3">
              <w:rPr>
                <w:rFonts w:ascii="Arial" w:hAnsi="Arial" w:cs="Arial"/>
                <w:sz w:val="20"/>
                <w:szCs w:val="20"/>
              </w:rPr>
              <w:t xml:space="preserve">The </w:t>
            </w:r>
            <w:r w:rsidR="00DE7E27">
              <w:rPr>
                <w:rFonts w:ascii="Arial" w:hAnsi="Arial" w:cs="Arial"/>
                <w:sz w:val="20"/>
                <w:szCs w:val="20"/>
              </w:rPr>
              <w:t>accounting unit</w:t>
            </w:r>
            <w:r w:rsidRPr="00BA34F3">
              <w:rPr>
                <w:rFonts w:ascii="Arial" w:hAnsi="Arial" w:cs="Arial"/>
                <w:sz w:val="20"/>
                <w:szCs w:val="20"/>
              </w:rPr>
              <w:t xml:space="preserve"> produces high-quality intellectual contributions that are consistent with its mission, expected outcomes, and strategies and that impact the theory, practice, and teaching of </w:t>
            </w:r>
            <w:r w:rsidR="00CE1DF2">
              <w:rPr>
                <w:rFonts w:ascii="Arial" w:hAnsi="Arial" w:cs="Arial"/>
                <w:sz w:val="20"/>
                <w:szCs w:val="20"/>
              </w:rPr>
              <w:t>accounting, business, and management</w:t>
            </w:r>
            <w:r w:rsidRPr="00BA34F3">
              <w:rPr>
                <w:rFonts w:ascii="Arial" w:hAnsi="Arial" w:cs="Arial"/>
                <w:sz w:val="20"/>
                <w:szCs w:val="20"/>
              </w:rPr>
              <w:t>.</w:t>
            </w:r>
          </w:p>
        </w:tc>
        <w:tc>
          <w:tcPr>
            <w:tcW w:w="6480" w:type="dxa"/>
          </w:tcPr>
          <w:p w14:paraId="7C8922F1" w14:textId="77777777" w:rsidR="00BA34F3" w:rsidRDefault="00BA34F3" w:rsidP="001A1081">
            <w:pPr>
              <w:rPr>
                <w:rFonts w:ascii="Arial" w:hAnsi="Arial" w:cs="Arial"/>
                <w:b/>
                <w:sz w:val="20"/>
                <w:szCs w:val="20"/>
              </w:rPr>
            </w:pPr>
          </w:p>
          <w:p w14:paraId="340E6120" w14:textId="77777777" w:rsidR="00BA34F3" w:rsidRPr="00BA34F3" w:rsidRDefault="00BA34F3" w:rsidP="001A1081">
            <w:pPr>
              <w:rPr>
                <w:rFonts w:ascii="Arial" w:hAnsi="Arial" w:cs="Arial"/>
                <w:b/>
                <w:sz w:val="20"/>
                <w:szCs w:val="20"/>
              </w:rPr>
            </w:pPr>
          </w:p>
        </w:tc>
      </w:tr>
      <w:tr w:rsidR="001A1081" w:rsidRPr="00BA34F3" w14:paraId="32DE7875" w14:textId="77777777" w:rsidTr="00843AC9">
        <w:trPr>
          <w:trHeight w:val="611"/>
        </w:trPr>
        <w:tc>
          <w:tcPr>
            <w:tcW w:w="7915" w:type="dxa"/>
          </w:tcPr>
          <w:p w14:paraId="6A8B054C" w14:textId="77777777" w:rsidR="00A83F91" w:rsidRPr="00A83F91" w:rsidRDefault="00A83F91" w:rsidP="001A1081">
            <w:pPr>
              <w:rPr>
                <w:rFonts w:ascii="Arial" w:hAnsi="Arial" w:cs="Arial"/>
                <w:sz w:val="20"/>
                <w:szCs w:val="20"/>
                <w:u w:val="single"/>
              </w:rPr>
            </w:pPr>
            <w:r w:rsidRPr="00A83F91">
              <w:rPr>
                <w:rFonts w:ascii="Arial" w:hAnsi="Arial" w:cs="Arial"/>
                <w:sz w:val="20"/>
                <w:szCs w:val="20"/>
                <w:u w:val="single"/>
              </w:rPr>
              <w:t xml:space="preserve">A3. Financial Strategies and Allocation of Resources </w:t>
            </w:r>
          </w:p>
          <w:p w14:paraId="72572706" w14:textId="77777777" w:rsidR="001A1081" w:rsidRPr="00BA34F3" w:rsidRDefault="00C8503C" w:rsidP="001A1081">
            <w:pPr>
              <w:rPr>
                <w:rFonts w:ascii="Arial" w:hAnsi="Arial" w:cs="Arial"/>
                <w:sz w:val="20"/>
                <w:szCs w:val="20"/>
              </w:rPr>
            </w:pPr>
            <w:r w:rsidRPr="00BA34F3">
              <w:rPr>
                <w:rFonts w:ascii="Arial" w:hAnsi="Arial" w:cs="Arial"/>
                <w:sz w:val="20"/>
                <w:szCs w:val="20"/>
              </w:rPr>
              <w:t xml:space="preserve">The </w:t>
            </w:r>
            <w:r w:rsidR="00DE7E27">
              <w:rPr>
                <w:rFonts w:ascii="Arial" w:hAnsi="Arial" w:cs="Arial"/>
                <w:sz w:val="20"/>
                <w:szCs w:val="20"/>
              </w:rPr>
              <w:t>accounting unit</w:t>
            </w:r>
            <w:r w:rsidRPr="00BA34F3">
              <w:rPr>
                <w:rFonts w:ascii="Arial" w:hAnsi="Arial" w:cs="Arial"/>
                <w:sz w:val="20"/>
                <w:szCs w:val="20"/>
              </w:rPr>
              <w:t xml:space="preserve"> has financial strategies to provide resources appropriate to, and sufficient for, achieving its mission and action items.</w:t>
            </w:r>
          </w:p>
        </w:tc>
        <w:tc>
          <w:tcPr>
            <w:tcW w:w="6480" w:type="dxa"/>
          </w:tcPr>
          <w:p w14:paraId="1480F909" w14:textId="77777777" w:rsidR="001A1081" w:rsidRPr="00BA34F3" w:rsidRDefault="001A1081" w:rsidP="001A1081">
            <w:pPr>
              <w:rPr>
                <w:rFonts w:ascii="Arial" w:hAnsi="Arial" w:cs="Arial"/>
                <w:b/>
                <w:sz w:val="20"/>
                <w:szCs w:val="20"/>
              </w:rPr>
            </w:pPr>
          </w:p>
        </w:tc>
      </w:tr>
      <w:tr w:rsidR="00C8503C" w:rsidRPr="00BA34F3" w14:paraId="7559232F" w14:textId="77777777" w:rsidTr="000A614A">
        <w:tblPrEx>
          <w:tblLook w:val="01E0" w:firstRow="1" w:lastRow="1" w:firstColumn="1" w:lastColumn="1" w:noHBand="0" w:noVBand="0"/>
        </w:tblPrEx>
        <w:trPr>
          <w:trHeight w:val="278"/>
        </w:trPr>
        <w:tc>
          <w:tcPr>
            <w:tcW w:w="7915" w:type="dxa"/>
            <w:vAlign w:val="center"/>
          </w:tcPr>
          <w:p w14:paraId="1BBFDE19" w14:textId="77777777" w:rsidR="00C8503C" w:rsidRPr="00BA34F3" w:rsidRDefault="00A83F91" w:rsidP="00BA34F3">
            <w:pPr>
              <w:pStyle w:val="Heading1"/>
              <w:jc w:val="center"/>
              <w:rPr>
                <w:rFonts w:ascii="Arial" w:hAnsi="Arial" w:cs="Arial"/>
                <w:sz w:val="20"/>
                <w:szCs w:val="20"/>
              </w:rPr>
            </w:pPr>
            <w:r w:rsidRPr="00F05975">
              <w:rPr>
                <w:rFonts w:ascii="Arial" w:hAnsi="Arial" w:cs="Arial"/>
                <w:sz w:val="20"/>
                <w:szCs w:val="20"/>
              </w:rPr>
              <w:t>Accounting Learning and Teaching</w:t>
            </w:r>
            <w:r>
              <w:rPr>
                <w:rFonts w:ascii="Arial" w:hAnsi="Arial" w:cs="Arial"/>
                <w:sz w:val="20"/>
                <w:szCs w:val="20"/>
              </w:rPr>
              <w:t xml:space="preserve"> Standards</w:t>
            </w:r>
          </w:p>
        </w:tc>
        <w:tc>
          <w:tcPr>
            <w:tcW w:w="6480" w:type="dxa"/>
            <w:vAlign w:val="center"/>
          </w:tcPr>
          <w:p w14:paraId="2AB82466" w14:textId="77777777" w:rsidR="00C8503C" w:rsidRPr="00BA34F3" w:rsidRDefault="00C8503C" w:rsidP="00BA34F3">
            <w:pPr>
              <w:jc w:val="center"/>
              <w:rPr>
                <w:rFonts w:ascii="Arial" w:hAnsi="Arial" w:cs="Arial"/>
                <w:b/>
                <w:sz w:val="20"/>
                <w:szCs w:val="20"/>
              </w:rPr>
            </w:pPr>
            <w:r w:rsidRPr="00BA34F3">
              <w:rPr>
                <w:rFonts w:ascii="Arial" w:hAnsi="Arial" w:cs="Arial"/>
                <w:b/>
                <w:sz w:val="20"/>
                <w:szCs w:val="20"/>
              </w:rPr>
              <w:t>QUESTIONS/COMMENTS</w:t>
            </w:r>
          </w:p>
        </w:tc>
      </w:tr>
      <w:tr w:rsidR="001A1081" w:rsidRPr="00BA34F3" w14:paraId="180C9840" w14:textId="77777777" w:rsidTr="00843AC9">
        <w:trPr>
          <w:trHeight w:val="1493"/>
        </w:trPr>
        <w:tc>
          <w:tcPr>
            <w:tcW w:w="7915" w:type="dxa"/>
          </w:tcPr>
          <w:p w14:paraId="032DF1D3" w14:textId="0B29F152" w:rsidR="001A1081" w:rsidRDefault="00A83F91" w:rsidP="001A1081">
            <w:pPr>
              <w:rPr>
                <w:rFonts w:ascii="Arial" w:hAnsi="Arial" w:cs="Arial"/>
                <w:sz w:val="20"/>
                <w:szCs w:val="20"/>
                <w:u w:val="single"/>
              </w:rPr>
            </w:pPr>
            <w:r w:rsidRPr="00A83F91">
              <w:rPr>
                <w:rFonts w:ascii="Arial" w:hAnsi="Arial" w:cs="Arial"/>
                <w:sz w:val="20"/>
                <w:szCs w:val="20"/>
                <w:u w:val="single"/>
              </w:rPr>
              <w:t>A4. Accounting Curricula Content, Management</w:t>
            </w:r>
            <w:r w:rsidR="00E32DD0">
              <w:rPr>
                <w:rFonts w:ascii="Arial" w:hAnsi="Arial" w:cs="Arial"/>
                <w:sz w:val="20"/>
                <w:szCs w:val="20"/>
                <w:u w:val="single"/>
              </w:rPr>
              <w:t>,</w:t>
            </w:r>
            <w:r w:rsidRPr="00A83F91">
              <w:rPr>
                <w:rFonts w:ascii="Arial" w:hAnsi="Arial" w:cs="Arial"/>
                <w:sz w:val="20"/>
                <w:szCs w:val="20"/>
                <w:u w:val="single"/>
              </w:rPr>
              <w:t xml:space="preserve"> and Assurance of Learning </w:t>
            </w:r>
          </w:p>
          <w:p w14:paraId="77A7C2DF" w14:textId="610593DD" w:rsidR="00FC585E" w:rsidRPr="00BA34F3" w:rsidRDefault="00FC585E" w:rsidP="001A1081">
            <w:pPr>
              <w:rPr>
                <w:rFonts w:ascii="Arial" w:hAnsi="Arial" w:cs="Arial"/>
                <w:sz w:val="20"/>
                <w:szCs w:val="20"/>
              </w:rPr>
            </w:pPr>
            <w:r w:rsidRPr="00FC585E">
              <w:rPr>
                <w:rFonts w:ascii="Arial" w:hAnsi="Arial" w:cs="Arial"/>
                <w:sz w:val="20"/>
                <w:szCs w:val="20"/>
              </w:rPr>
              <w:t>Curriculum is appropriate to professional expectations and requirements for each accounting degree program. The accounting academic unit uses well-documented, systematic processes for determining and revising degree program learning goals; designing, delivering, and improving degree program curricula to achieve learning goals; and demonstrating that degree program learning goals have been met</w:t>
            </w:r>
          </w:p>
        </w:tc>
        <w:tc>
          <w:tcPr>
            <w:tcW w:w="6480" w:type="dxa"/>
          </w:tcPr>
          <w:p w14:paraId="79EBEE80" w14:textId="77777777" w:rsidR="001A1081" w:rsidRPr="00BA34F3" w:rsidRDefault="001A1081" w:rsidP="001A1081">
            <w:pPr>
              <w:rPr>
                <w:rFonts w:ascii="Arial" w:hAnsi="Arial" w:cs="Arial"/>
                <w:b/>
                <w:sz w:val="20"/>
                <w:szCs w:val="20"/>
              </w:rPr>
            </w:pPr>
          </w:p>
          <w:p w14:paraId="6B29B0B0" w14:textId="77777777" w:rsidR="007775BE" w:rsidRPr="00BA34F3" w:rsidRDefault="007775BE" w:rsidP="001A1081">
            <w:pPr>
              <w:rPr>
                <w:rFonts w:ascii="Arial" w:hAnsi="Arial" w:cs="Arial"/>
                <w:b/>
                <w:sz w:val="20"/>
                <w:szCs w:val="20"/>
              </w:rPr>
            </w:pPr>
          </w:p>
          <w:p w14:paraId="396C4A72" w14:textId="77777777" w:rsidR="007775BE" w:rsidRPr="00BA34F3" w:rsidRDefault="007775BE" w:rsidP="001A1081">
            <w:pPr>
              <w:rPr>
                <w:rFonts w:ascii="Arial" w:hAnsi="Arial" w:cs="Arial"/>
                <w:b/>
                <w:sz w:val="20"/>
                <w:szCs w:val="20"/>
              </w:rPr>
            </w:pPr>
          </w:p>
          <w:p w14:paraId="0A70D0A8" w14:textId="77777777" w:rsidR="007775BE" w:rsidRPr="00BA34F3" w:rsidRDefault="007775BE" w:rsidP="001A1081">
            <w:pPr>
              <w:rPr>
                <w:rFonts w:ascii="Arial" w:hAnsi="Arial" w:cs="Arial"/>
                <w:b/>
                <w:sz w:val="20"/>
                <w:szCs w:val="20"/>
              </w:rPr>
            </w:pPr>
          </w:p>
          <w:p w14:paraId="25017D52" w14:textId="77777777" w:rsidR="007775BE" w:rsidRPr="00BA34F3" w:rsidRDefault="007775BE" w:rsidP="001A1081">
            <w:pPr>
              <w:rPr>
                <w:rFonts w:ascii="Arial" w:hAnsi="Arial" w:cs="Arial"/>
                <w:b/>
                <w:sz w:val="20"/>
                <w:szCs w:val="20"/>
              </w:rPr>
            </w:pPr>
          </w:p>
          <w:p w14:paraId="453186C9" w14:textId="77777777" w:rsidR="007775BE" w:rsidRPr="00BA34F3" w:rsidRDefault="007775BE" w:rsidP="001A1081">
            <w:pPr>
              <w:rPr>
                <w:rFonts w:ascii="Arial" w:hAnsi="Arial" w:cs="Arial"/>
                <w:b/>
                <w:sz w:val="20"/>
                <w:szCs w:val="20"/>
              </w:rPr>
            </w:pPr>
          </w:p>
        </w:tc>
      </w:tr>
      <w:tr w:rsidR="00BA34F3" w:rsidRPr="00BA34F3" w14:paraId="0B3F07ED" w14:textId="77777777" w:rsidTr="00843AC9">
        <w:tblPrEx>
          <w:tblLook w:val="01E0" w:firstRow="1" w:lastRow="1" w:firstColumn="1" w:lastColumn="1" w:noHBand="0" w:noVBand="0"/>
        </w:tblPrEx>
        <w:trPr>
          <w:trHeight w:val="1520"/>
        </w:trPr>
        <w:tc>
          <w:tcPr>
            <w:tcW w:w="7915" w:type="dxa"/>
          </w:tcPr>
          <w:p w14:paraId="363990D0" w14:textId="77777777" w:rsidR="00A83F91" w:rsidRPr="00A83F91" w:rsidRDefault="00A83F91" w:rsidP="00BA34F3">
            <w:pPr>
              <w:rPr>
                <w:rFonts w:ascii="Arial" w:hAnsi="Arial" w:cs="Arial"/>
                <w:sz w:val="20"/>
                <w:szCs w:val="20"/>
                <w:u w:val="single"/>
              </w:rPr>
            </w:pPr>
            <w:r w:rsidRPr="00A83F91">
              <w:rPr>
                <w:rFonts w:ascii="Arial" w:hAnsi="Arial" w:cs="Arial"/>
                <w:sz w:val="20"/>
                <w:szCs w:val="20"/>
                <w:u w:val="single"/>
              </w:rPr>
              <w:t xml:space="preserve">A5. Information Technology Skills, Agility and Knowledge for Accounting Graduates and Faculty </w:t>
            </w:r>
          </w:p>
          <w:p w14:paraId="04FB465D" w14:textId="4B269723" w:rsidR="00A83F91" w:rsidRPr="00BA34F3" w:rsidRDefault="00FC585E" w:rsidP="00BA34F3">
            <w:pPr>
              <w:rPr>
                <w:rFonts w:ascii="Arial" w:hAnsi="Arial" w:cs="Arial"/>
                <w:sz w:val="20"/>
                <w:szCs w:val="20"/>
              </w:rPr>
            </w:pPr>
            <w:r w:rsidRPr="000E289B">
              <w:rPr>
                <w:rFonts w:ascii="Arial" w:hAnsi="Arial" w:cs="Arial"/>
                <w:sz w:val="20"/>
                <w:szCs w:val="20"/>
              </w:rPr>
              <w:t>Consistent with mission, expected outcomes, and supporting strategies, accounting degree programs include learning experiences that develop skills and knowledge related to the integration of information technology in accounting and business. This includes the ability of both faculty and students to adapt to emerging technologies as well as the mastery of current technology.</w:t>
            </w:r>
          </w:p>
        </w:tc>
        <w:tc>
          <w:tcPr>
            <w:tcW w:w="6480" w:type="dxa"/>
          </w:tcPr>
          <w:p w14:paraId="36C6FF5B" w14:textId="77777777" w:rsidR="00BA34F3" w:rsidRPr="00BA34F3" w:rsidRDefault="00BA34F3" w:rsidP="00BA34F3">
            <w:pPr>
              <w:rPr>
                <w:rFonts w:ascii="Arial" w:hAnsi="Arial" w:cs="Arial"/>
                <w:b/>
                <w:sz w:val="20"/>
                <w:szCs w:val="20"/>
              </w:rPr>
            </w:pPr>
          </w:p>
        </w:tc>
      </w:tr>
      <w:tr w:rsidR="00BA34F3" w:rsidRPr="00BA34F3" w14:paraId="6B65AD64" w14:textId="77777777" w:rsidTr="000A614A">
        <w:tblPrEx>
          <w:tblLook w:val="01E0" w:firstRow="1" w:lastRow="1" w:firstColumn="1" w:lastColumn="1" w:noHBand="0" w:noVBand="0"/>
        </w:tblPrEx>
        <w:tc>
          <w:tcPr>
            <w:tcW w:w="7915" w:type="dxa"/>
          </w:tcPr>
          <w:p w14:paraId="0C1FB59D" w14:textId="77777777" w:rsidR="00A83F91" w:rsidRPr="00A83F91" w:rsidRDefault="00A83F91" w:rsidP="00BA34F3">
            <w:pPr>
              <w:jc w:val="center"/>
              <w:rPr>
                <w:rFonts w:ascii="Arial" w:hAnsi="Arial" w:cs="Arial"/>
                <w:b/>
                <w:sz w:val="20"/>
                <w:szCs w:val="20"/>
              </w:rPr>
            </w:pPr>
            <w:r w:rsidRPr="00A83F91">
              <w:rPr>
                <w:rFonts w:ascii="Arial" w:hAnsi="Arial" w:cs="Arial"/>
                <w:b/>
                <w:sz w:val="20"/>
                <w:szCs w:val="20"/>
              </w:rPr>
              <w:t xml:space="preserve">Accounting Academic and Professional Engagement and </w:t>
            </w:r>
          </w:p>
          <w:p w14:paraId="37870973" w14:textId="77777777" w:rsidR="00BA34F3" w:rsidRPr="00BA34F3" w:rsidRDefault="00A83F91" w:rsidP="00BA34F3">
            <w:pPr>
              <w:jc w:val="center"/>
              <w:rPr>
                <w:rFonts w:ascii="Arial" w:hAnsi="Arial" w:cs="Arial"/>
                <w:b/>
                <w:sz w:val="20"/>
                <w:szCs w:val="20"/>
              </w:rPr>
            </w:pPr>
            <w:r w:rsidRPr="00A83F91">
              <w:rPr>
                <w:rFonts w:ascii="Arial" w:hAnsi="Arial" w:cs="Arial"/>
                <w:b/>
                <w:sz w:val="20"/>
                <w:szCs w:val="20"/>
              </w:rPr>
              <w:t>Professional Interactions Standards</w:t>
            </w:r>
          </w:p>
        </w:tc>
        <w:tc>
          <w:tcPr>
            <w:tcW w:w="6480" w:type="dxa"/>
          </w:tcPr>
          <w:p w14:paraId="52824A35" w14:textId="77777777" w:rsidR="00BA34F3" w:rsidRPr="00BA34F3" w:rsidRDefault="00BA34F3" w:rsidP="00BA34F3">
            <w:pPr>
              <w:jc w:val="center"/>
              <w:rPr>
                <w:rFonts w:ascii="Arial" w:hAnsi="Arial" w:cs="Arial"/>
                <w:b/>
                <w:sz w:val="20"/>
                <w:szCs w:val="20"/>
              </w:rPr>
            </w:pPr>
            <w:r w:rsidRPr="00BA34F3">
              <w:rPr>
                <w:rFonts w:ascii="Arial" w:hAnsi="Arial" w:cs="Arial"/>
                <w:b/>
                <w:sz w:val="20"/>
                <w:szCs w:val="20"/>
              </w:rPr>
              <w:t>QUESTIONS/COMMENTS</w:t>
            </w:r>
          </w:p>
        </w:tc>
      </w:tr>
      <w:tr w:rsidR="001A1081" w:rsidRPr="00BA34F3" w14:paraId="1D0B788D" w14:textId="77777777" w:rsidTr="000A614A">
        <w:tblPrEx>
          <w:tblLook w:val="01E0" w:firstRow="1" w:lastRow="1" w:firstColumn="1" w:lastColumn="1" w:noHBand="0" w:noVBand="0"/>
        </w:tblPrEx>
        <w:tc>
          <w:tcPr>
            <w:tcW w:w="7915" w:type="dxa"/>
          </w:tcPr>
          <w:p w14:paraId="36B9C2E0" w14:textId="42E26C0F" w:rsidR="00A83F91" w:rsidRPr="00A83F91" w:rsidRDefault="00A83F91" w:rsidP="00BA34F3">
            <w:pPr>
              <w:rPr>
                <w:rFonts w:ascii="Arial" w:hAnsi="Arial" w:cs="Arial"/>
                <w:sz w:val="20"/>
                <w:szCs w:val="20"/>
                <w:u w:val="single"/>
              </w:rPr>
            </w:pPr>
            <w:r w:rsidRPr="00A83F91">
              <w:rPr>
                <w:rFonts w:ascii="Arial" w:hAnsi="Arial" w:cs="Arial"/>
                <w:sz w:val="20"/>
                <w:szCs w:val="20"/>
                <w:u w:val="single"/>
              </w:rPr>
              <w:t>A6. Accounting Faculty Sufficiency, Credentials, Qualifications</w:t>
            </w:r>
            <w:r w:rsidR="00FC585E">
              <w:rPr>
                <w:rFonts w:ascii="Arial" w:hAnsi="Arial" w:cs="Arial"/>
                <w:sz w:val="20"/>
                <w:szCs w:val="20"/>
                <w:u w:val="single"/>
              </w:rPr>
              <w:t>,</w:t>
            </w:r>
            <w:r w:rsidRPr="00A83F91">
              <w:rPr>
                <w:rFonts w:ascii="Arial" w:hAnsi="Arial" w:cs="Arial"/>
                <w:sz w:val="20"/>
                <w:szCs w:val="20"/>
                <w:u w:val="single"/>
              </w:rPr>
              <w:t xml:space="preserve"> and Deployment </w:t>
            </w:r>
          </w:p>
          <w:p w14:paraId="471EFA28" w14:textId="0BB1375A" w:rsidR="00FC585E" w:rsidRPr="00FC585E" w:rsidRDefault="00FC585E" w:rsidP="00FC585E">
            <w:pPr>
              <w:rPr>
                <w:rFonts w:ascii="Arial" w:hAnsi="Arial" w:cs="Arial"/>
                <w:sz w:val="20"/>
                <w:szCs w:val="20"/>
              </w:rPr>
            </w:pPr>
            <w:r w:rsidRPr="00FC585E">
              <w:rPr>
                <w:rFonts w:ascii="Arial" w:hAnsi="Arial" w:cs="Arial"/>
                <w:sz w:val="20"/>
                <w:szCs w:val="20"/>
              </w:rPr>
              <w:t>The accounting academic unit maintains and strategically deploys</w:t>
            </w:r>
          </w:p>
          <w:p w14:paraId="0A6FA714" w14:textId="77777777" w:rsidR="00FC585E" w:rsidRPr="00FC585E" w:rsidRDefault="00FC585E" w:rsidP="00FC585E">
            <w:pPr>
              <w:rPr>
                <w:rFonts w:ascii="Arial" w:hAnsi="Arial" w:cs="Arial"/>
                <w:sz w:val="20"/>
                <w:szCs w:val="20"/>
              </w:rPr>
            </w:pPr>
            <w:proofErr w:type="gramStart"/>
            <w:r w:rsidRPr="00FC585E">
              <w:rPr>
                <w:rFonts w:ascii="Arial" w:hAnsi="Arial" w:cs="Arial"/>
                <w:sz w:val="20"/>
                <w:szCs w:val="20"/>
              </w:rPr>
              <w:t>a sufficient number of</w:t>
            </w:r>
            <w:proofErr w:type="gramEnd"/>
            <w:r w:rsidRPr="00FC585E">
              <w:rPr>
                <w:rFonts w:ascii="Arial" w:hAnsi="Arial" w:cs="Arial"/>
                <w:sz w:val="20"/>
                <w:szCs w:val="20"/>
              </w:rPr>
              <w:t xml:space="preserve"> faculty with professional and academic credentials,</w:t>
            </w:r>
          </w:p>
          <w:p w14:paraId="786955DF" w14:textId="77777777" w:rsidR="00FC585E" w:rsidRPr="00FC585E" w:rsidRDefault="00FC585E" w:rsidP="00FC585E">
            <w:pPr>
              <w:rPr>
                <w:rFonts w:ascii="Arial" w:hAnsi="Arial" w:cs="Arial"/>
                <w:sz w:val="20"/>
                <w:szCs w:val="20"/>
              </w:rPr>
            </w:pPr>
            <w:r w:rsidRPr="00FC585E">
              <w:rPr>
                <w:rFonts w:ascii="Arial" w:hAnsi="Arial" w:cs="Arial"/>
                <w:sz w:val="20"/>
                <w:szCs w:val="20"/>
              </w:rPr>
              <w:t>qualifications, certifications, and professional experience who collectively and</w:t>
            </w:r>
          </w:p>
          <w:p w14:paraId="7C104145" w14:textId="77777777" w:rsidR="00FC585E" w:rsidRPr="00FC585E" w:rsidRDefault="00FC585E" w:rsidP="00FC585E">
            <w:pPr>
              <w:rPr>
                <w:rFonts w:ascii="Arial" w:hAnsi="Arial" w:cs="Arial"/>
                <w:sz w:val="20"/>
                <w:szCs w:val="20"/>
              </w:rPr>
            </w:pPr>
            <w:r w:rsidRPr="00FC585E">
              <w:rPr>
                <w:rFonts w:ascii="Arial" w:hAnsi="Arial" w:cs="Arial"/>
                <w:sz w:val="20"/>
                <w:szCs w:val="20"/>
              </w:rPr>
              <w:t>individually demonstrate significant academic and/or professional engagement</w:t>
            </w:r>
          </w:p>
          <w:p w14:paraId="16A4FE9D" w14:textId="77777777" w:rsidR="00FC585E" w:rsidRPr="00FC585E" w:rsidRDefault="00FC585E" w:rsidP="00FC585E">
            <w:pPr>
              <w:rPr>
                <w:rFonts w:ascii="Arial" w:hAnsi="Arial" w:cs="Arial"/>
                <w:sz w:val="20"/>
                <w:szCs w:val="20"/>
              </w:rPr>
            </w:pPr>
            <w:r w:rsidRPr="00FC585E">
              <w:rPr>
                <w:rFonts w:ascii="Arial" w:hAnsi="Arial" w:cs="Arial"/>
                <w:sz w:val="20"/>
                <w:szCs w:val="20"/>
              </w:rPr>
              <w:t>sustaining the intellectual capital necessary to support high-quality outcomes</w:t>
            </w:r>
          </w:p>
          <w:p w14:paraId="0F75D46F" w14:textId="52C87AF7" w:rsidR="001A1081" w:rsidRPr="00BA34F3" w:rsidRDefault="00FC585E" w:rsidP="00FC585E">
            <w:pPr>
              <w:rPr>
                <w:rFonts w:ascii="Arial" w:hAnsi="Arial" w:cs="Arial"/>
                <w:sz w:val="20"/>
                <w:szCs w:val="20"/>
              </w:rPr>
            </w:pPr>
            <w:r w:rsidRPr="00FC585E">
              <w:rPr>
                <w:rFonts w:ascii="Arial" w:hAnsi="Arial" w:cs="Arial"/>
                <w:sz w:val="20"/>
                <w:szCs w:val="20"/>
              </w:rPr>
              <w:t>consistent with the school’s mission and strategies.</w:t>
            </w:r>
          </w:p>
        </w:tc>
        <w:tc>
          <w:tcPr>
            <w:tcW w:w="6480" w:type="dxa"/>
          </w:tcPr>
          <w:p w14:paraId="36635D9F" w14:textId="77777777" w:rsidR="001A1081" w:rsidRPr="00BA34F3" w:rsidRDefault="001A1081" w:rsidP="001A1081">
            <w:pPr>
              <w:rPr>
                <w:rFonts w:ascii="Arial" w:hAnsi="Arial" w:cs="Arial"/>
                <w:b/>
                <w:sz w:val="20"/>
                <w:szCs w:val="20"/>
              </w:rPr>
            </w:pPr>
          </w:p>
        </w:tc>
      </w:tr>
    </w:tbl>
    <w:p w14:paraId="5C1C8041" w14:textId="77777777" w:rsidR="001A1081" w:rsidRPr="00BA34F3" w:rsidRDefault="001A1081" w:rsidP="001A1081">
      <w:pPr>
        <w:rPr>
          <w:rFonts w:ascii="Arial" w:hAnsi="Arial" w:cs="Arial"/>
          <w:b/>
          <w:sz w:val="20"/>
          <w:szCs w:val="20"/>
        </w:rPr>
      </w:pPr>
    </w:p>
    <w:p w14:paraId="2FD7EFA9" w14:textId="77777777" w:rsidR="00BF74E7" w:rsidRDefault="00844634">
      <w:pPr>
        <w:ind w:left="360"/>
        <w:rPr>
          <w:rFonts w:ascii="Arial" w:hAnsi="Arial" w:cs="Arial"/>
          <w:sz w:val="22"/>
          <w:szCs w:val="22"/>
        </w:rPr>
      </w:pPr>
      <w:r w:rsidRPr="00A2344C">
        <w:rPr>
          <w:rFonts w:ascii="Arial" w:hAnsi="Arial" w:cs="Arial"/>
          <w:sz w:val="22"/>
          <w:szCs w:val="22"/>
        </w:rPr>
        <w:t>Additional comments:</w:t>
      </w:r>
      <w:r w:rsidR="00BF74E7">
        <w:rPr>
          <w:rFonts w:ascii="Arial" w:hAnsi="Arial" w:cs="Arial"/>
          <w:sz w:val="22"/>
          <w:szCs w:val="22"/>
        </w:rPr>
        <w:t xml:space="preserve">  </w:t>
      </w:r>
    </w:p>
    <w:p w14:paraId="6BDFBAA9" w14:textId="77777777" w:rsidR="00BF74E7" w:rsidRDefault="00BF74E7">
      <w:pPr>
        <w:ind w:left="360"/>
        <w:rPr>
          <w:rFonts w:ascii="Arial" w:hAnsi="Arial" w:cs="Arial"/>
          <w:sz w:val="22"/>
          <w:szCs w:val="22"/>
        </w:rPr>
      </w:pPr>
    </w:p>
    <w:p w14:paraId="4C99791F" w14:textId="77777777" w:rsidR="00BF74E7" w:rsidRDefault="00BF74E7">
      <w:pPr>
        <w:ind w:left="360"/>
        <w:rPr>
          <w:rFonts w:ascii="Arial" w:hAnsi="Arial" w:cs="Arial"/>
          <w:sz w:val="22"/>
          <w:szCs w:val="22"/>
        </w:rPr>
      </w:pPr>
    </w:p>
    <w:p w14:paraId="286C414D" w14:textId="205CAF9F" w:rsidR="00E749C8" w:rsidRPr="00A2344C" w:rsidRDefault="00E749C8">
      <w:pPr>
        <w:ind w:left="360"/>
        <w:rPr>
          <w:rFonts w:ascii="Arial" w:hAnsi="Arial" w:cs="Arial"/>
          <w:b/>
          <w:bCs/>
          <w:sz w:val="22"/>
          <w:szCs w:val="22"/>
          <w:u w:val="single"/>
        </w:rPr>
      </w:pPr>
      <w:r w:rsidRPr="00A2344C">
        <w:rPr>
          <w:rFonts w:ascii="Arial" w:hAnsi="Arial" w:cs="Arial"/>
          <w:b/>
          <w:bCs/>
          <w:sz w:val="22"/>
          <w:szCs w:val="22"/>
          <w:u w:val="single"/>
        </w:rPr>
        <w:t>Conclusion</w:t>
      </w:r>
    </w:p>
    <w:p w14:paraId="5C11FE0A" w14:textId="77777777" w:rsidR="00E749C8" w:rsidRPr="00A2344C" w:rsidRDefault="00E749C8">
      <w:pPr>
        <w:rPr>
          <w:rFonts w:ascii="Arial" w:hAnsi="Arial" w:cs="Arial"/>
          <w:b/>
          <w:bCs/>
          <w:sz w:val="22"/>
          <w:szCs w:val="22"/>
          <w:u w:val="single"/>
        </w:rPr>
      </w:pPr>
    </w:p>
    <w:p w14:paraId="394BA205" w14:textId="6DFE406D" w:rsidR="00E749C8" w:rsidRPr="00A2344C" w:rsidRDefault="00E749C8">
      <w:pPr>
        <w:ind w:left="360"/>
        <w:rPr>
          <w:rFonts w:ascii="Arial" w:hAnsi="Arial" w:cs="Arial"/>
          <w:sz w:val="22"/>
          <w:szCs w:val="22"/>
        </w:rPr>
      </w:pPr>
      <w:r w:rsidRPr="00A2344C">
        <w:rPr>
          <w:rFonts w:ascii="Arial" w:hAnsi="Arial" w:cs="Arial"/>
          <w:sz w:val="22"/>
          <w:szCs w:val="22"/>
        </w:rPr>
        <w:t>In summary, I consider [</w:t>
      </w:r>
      <w:r w:rsidRPr="00BF74E7">
        <w:rPr>
          <w:rFonts w:ascii="Arial" w:hAnsi="Arial" w:cs="Arial"/>
          <w:i/>
          <w:iCs/>
          <w:sz w:val="22"/>
          <w:szCs w:val="22"/>
        </w:rPr>
        <w:t>name of institution</w:t>
      </w:r>
      <w:r w:rsidRPr="00A2344C">
        <w:rPr>
          <w:rFonts w:ascii="Arial" w:hAnsi="Arial" w:cs="Arial"/>
          <w:sz w:val="22"/>
          <w:szCs w:val="22"/>
        </w:rPr>
        <w:t xml:space="preserve">] </w:t>
      </w:r>
      <w:r w:rsidR="00C43D6F">
        <w:rPr>
          <w:rFonts w:ascii="Arial" w:hAnsi="Arial" w:cs="Arial"/>
          <w:sz w:val="22"/>
          <w:szCs w:val="22"/>
        </w:rPr>
        <w:t>[</w:t>
      </w:r>
      <w:r w:rsidRPr="00BF74E7">
        <w:rPr>
          <w:rFonts w:ascii="Arial" w:hAnsi="Arial" w:cs="Arial"/>
          <w:i/>
          <w:iCs/>
          <w:sz w:val="22"/>
          <w:szCs w:val="22"/>
          <w:highlight w:val="yellow"/>
        </w:rPr>
        <w:t>ready</w:t>
      </w:r>
      <w:r w:rsidR="00210CC6" w:rsidRPr="00BF74E7">
        <w:rPr>
          <w:rFonts w:ascii="Arial" w:hAnsi="Arial" w:cs="Arial"/>
          <w:i/>
          <w:iCs/>
          <w:sz w:val="22"/>
          <w:szCs w:val="22"/>
          <w:highlight w:val="yellow"/>
        </w:rPr>
        <w:t>/not ready</w:t>
      </w:r>
      <w:r w:rsidR="00C43D6F">
        <w:rPr>
          <w:rFonts w:ascii="Arial" w:hAnsi="Arial" w:cs="Arial"/>
          <w:i/>
          <w:iCs/>
          <w:sz w:val="22"/>
          <w:szCs w:val="22"/>
        </w:rPr>
        <w:t>]</w:t>
      </w:r>
      <w:r w:rsidRPr="00A2344C">
        <w:rPr>
          <w:rFonts w:ascii="Arial" w:hAnsi="Arial" w:cs="Arial"/>
          <w:sz w:val="22"/>
          <w:szCs w:val="22"/>
        </w:rPr>
        <w:t xml:space="preserve"> to move forward in pursuit of accreditation.  The upper administration, faculty</w:t>
      </w:r>
      <w:r w:rsidR="00F154AA">
        <w:rPr>
          <w:rFonts w:ascii="Arial" w:hAnsi="Arial" w:cs="Arial"/>
          <w:sz w:val="22"/>
          <w:szCs w:val="22"/>
        </w:rPr>
        <w:t>,</w:t>
      </w:r>
      <w:r w:rsidRPr="00A2344C">
        <w:rPr>
          <w:rFonts w:ascii="Arial" w:hAnsi="Arial" w:cs="Arial"/>
          <w:sz w:val="22"/>
          <w:szCs w:val="22"/>
        </w:rPr>
        <w:t xml:space="preserve"> and students are supportive and adequate resources appear available.  I suggest the following tentative schedule:</w:t>
      </w:r>
    </w:p>
    <w:p w14:paraId="2593723C" w14:textId="77777777" w:rsidR="00E749C8" w:rsidRPr="00A2344C" w:rsidRDefault="00E749C8">
      <w:pPr>
        <w:ind w:left="360"/>
        <w:rPr>
          <w:rFonts w:ascii="Arial" w:hAnsi="Arial" w:cs="Arial"/>
          <w:sz w:val="22"/>
          <w:szCs w:val="22"/>
        </w:rPr>
      </w:pPr>
    </w:p>
    <w:p w14:paraId="2492282A" w14:textId="77777777" w:rsidR="00E749C8" w:rsidRPr="00A2344C" w:rsidRDefault="00B91A0F">
      <w:pPr>
        <w:ind w:left="360"/>
        <w:rPr>
          <w:rFonts w:ascii="Arial" w:hAnsi="Arial" w:cs="Arial"/>
          <w:b/>
          <w:bCs/>
          <w:sz w:val="22"/>
          <w:szCs w:val="22"/>
          <w:u w:val="single"/>
        </w:rPr>
      </w:pPr>
      <w:r>
        <w:rPr>
          <w:rFonts w:ascii="Arial" w:hAnsi="Arial" w:cs="Arial"/>
          <w:b/>
          <w:bCs/>
          <w:sz w:val="22"/>
          <w:szCs w:val="22"/>
          <w:u w:val="single"/>
        </w:rPr>
        <w:t>20XX</w:t>
      </w:r>
    </w:p>
    <w:p w14:paraId="161B87DC" w14:textId="77777777" w:rsidR="00E749C8" w:rsidRPr="00A2344C" w:rsidRDefault="00E749C8">
      <w:pPr>
        <w:ind w:left="360"/>
        <w:rPr>
          <w:rFonts w:ascii="Arial" w:hAnsi="Arial" w:cs="Arial"/>
          <w:b/>
          <w:bCs/>
          <w:sz w:val="22"/>
          <w:szCs w:val="22"/>
          <w:u w:val="single"/>
        </w:rPr>
      </w:pPr>
    </w:p>
    <w:p w14:paraId="3937CA08" w14:textId="77777777" w:rsidR="00E749C8" w:rsidRPr="00A2344C" w:rsidRDefault="00E749C8">
      <w:pPr>
        <w:pStyle w:val="Heading2"/>
        <w:ind w:left="360"/>
        <w:rPr>
          <w:rFonts w:ascii="Arial" w:hAnsi="Arial" w:cs="Arial"/>
          <w:sz w:val="22"/>
          <w:szCs w:val="22"/>
        </w:rPr>
      </w:pPr>
      <w:r w:rsidRPr="00A2344C">
        <w:rPr>
          <w:rFonts w:ascii="Arial" w:hAnsi="Arial" w:cs="Arial"/>
          <w:sz w:val="22"/>
          <w:szCs w:val="22"/>
        </w:rPr>
        <w:t>January – June</w:t>
      </w:r>
    </w:p>
    <w:p w14:paraId="2C4E56D8" w14:textId="77777777" w:rsidR="00E749C8" w:rsidRPr="00A2344C" w:rsidRDefault="00E749C8">
      <w:pPr>
        <w:ind w:left="360"/>
        <w:rPr>
          <w:rFonts w:ascii="Arial" w:hAnsi="Arial" w:cs="Arial"/>
          <w:b/>
          <w:bCs/>
          <w:sz w:val="22"/>
          <w:szCs w:val="22"/>
          <w:u w:val="single"/>
        </w:rPr>
      </w:pPr>
    </w:p>
    <w:p w14:paraId="54667050" w14:textId="77777777" w:rsidR="00E749C8" w:rsidRPr="00A2344C" w:rsidRDefault="00E749C8">
      <w:pPr>
        <w:ind w:left="360"/>
        <w:rPr>
          <w:rFonts w:ascii="Arial" w:hAnsi="Arial" w:cs="Arial"/>
          <w:sz w:val="22"/>
          <w:szCs w:val="22"/>
        </w:rPr>
      </w:pPr>
      <w:r w:rsidRPr="00A2344C">
        <w:rPr>
          <w:rFonts w:ascii="Arial" w:hAnsi="Arial" w:cs="Arial"/>
          <w:sz w:val="22"/>
          <w:szCs w:val="22"/>
        </w:rPr>
        <w:t>Faculty meets on a regular basis to prepare documentation consistent with the accreditation standards and areas identified by the Mentor</w:t>
      </w:r>
      <w:r w:rsidR="00434324" w:rsidRPr="00A2344C">
        <w:rPr>
          <w:rFonts w:ascii="Arial" w:hAnsi="Arial" w:cs="Arial"/>
          <w:sz w:val="22"/>
          <w:szCs w:val="22"/>
        </w:rPr>
        <w:t xml:space="preserve"> and the I</w:t>
      </w:r>
      <w:r w:rsidRPr="00A2344C">
        <w:rPr>
          <w:rFonts w:ascii="Arial" w:hAnsi="Arial" w:cs="Arial"/>
          <w:sz w:val="22"/>
          <w:szCs w:val="22"/>
        </w:rPr>
        <w:t>AC.</w:t>
      </w:r>
    </w:p>
    <w:p w14:paraId="78EF90B7" w14:textId="77777777" w:rsidR="00CB23D4" w:rsidRPr="00A2344C" w:rsidRDefault="00CB23D4">
      <w:pPr>
        <w:ind w:left="360"/>
        <w:rPr>
          <w:rFonts w:ascii="Arial" w:hAnsi="Arial" w:cs="Arial"/>
          <w:sz w:val="22"/>
          <w:szCs w:val="22"/>
        </w:rPr>
      </w:pPr>
    </w:p>
    <w:p w14:paraId="198FACA7" w14:textId="77777777" w:rsidR="00BA34F3" w:rsidRPr="00A2344C" w:rsidRDefault="00BA34F3">
      <w:pPr>
        <w:ind w:left="360"/>
        <w:rPr>
          <w:rFonts w:ascii="Arial" w:hAnsi="Arial" w:cs="Arial"/>
          <w:sz w:val="22"/>
          <w:szCs w:val="22"/>
        </w:rPr>
      </w:pPr>
    </w:p>
    <w:p w14:paraId="37DF32FF" w14:textId="77777777" w:rsidR="00E749C8" w:rsidRPr="00A2344C" w:rsidRDefault="00E749C8">
      <w:pPr>
        <w:pStyle w:val="Heading2"/>
        <w:ind w:left="360"/>
        <w:rPr>
          <w:rFonts w:ascii="Arial" w:hAnsi="Arial" w:cs="Arial"/>
          <w:sz w:val="22"/>
          <w:szCs w:val="22"/>
        </w:rPr>
      </w:pPr>
      <w:r w:rsidRPr="00A2344C">
        <w:rPr>
          <w:rFonts w:ascii="Arial" w:hAnsi="Arial" w:cs="Arial"/>
          <w:sz w:val="22"/>
          <w:szCs w:val="22"/>
        </w:rPr>
        <w:t>July/August</w:t>
      </w:r>
    </w:p>
    <w:p w14:paraId="08B4408C" w14:textId="77777777" w:rsidR="00E749C8" w:rsidRPr="00A2344C" w:rsidRDefault="00E749C8">
      <w:pPr>
        <w:ind w:left="360"/>
        <w:rPr>
          <w:rFonts w:ascii="Arial" w:hAnsi="Arial" w:cs="Arial"/>
          <w:b/>
          <w:bCs/>
          <w:sz w:val="22"/>
          <w:szCs w:val="22"/>
          <w:u w:val="single"/>
        </w:rPr>
      </w:pPr>
    </w:p>
    <w:p w14:paraId="061D0185" w14:textId="77777777" w:rsidR="00E749C8" w:rsidRPr="00A2344C" w:rsidRDefault="00E749C8">
      <w:pPr>
        <w:ind w:left="360"/>
        <w:rPr>
          <w:rFonts w:ascii="Arial" w:hAnsi="Arial" w:cs="Arial"/>
          <w:b/>
          <w:bCs/>
          <w:sz w:val="22"/>
          <w:szCs w:val="22"/>
          <w:u w:val="single"/>
        </w:rPr>
      </w:pPr>
      <w:r w:rsidRPr="00A2344C">
        <w:rPr>
          <w:rFonts w:ascii="Arial" w:hAnsi="Arial" w:cs="Arial"/>
          <w:sz w:val="22"/>
          <w:szCs w:val="22"/>
        </w:rPr>
        <w:t xml:space="preserve">Visit by Mentor to finalize the Strategic Plan and </w:t>
      </w:r>
      <w:r w:rsidR="00416183">
        <w:rPr>
          <w:rFonts w:ascii="Arial" w:hAnsi="Arial" w:cs="Arial"/>
          <w:sz w:val="22"/>
          <w:szCs w:val="22"/>
        </w:rPr>
        <w:t>Initial Self Evaluation Report (iSER)</w:t>
      </w:r>
    </w:p>
    <w:p w14:paraId="21D009CF" w14:textId="77777777" w:rsidR="00E749C8" w:rsidRPr="00A2344C" w:rsidRDefault="00E749C8">
      <w:pPr>
        <w:ind w:left="360"/>
        <w:rPr>
          <w:rFonts w:ascii="Arial" w:hAnsi="Arial" w:cs="Arial"/>
          <w:sz w:val="22"/>
          <w:szCs w:val="22"/>
        </w:rPr>
      </w:pPr>
    </w:p>
    <w:p w14:paraId="45151068" w14:textId="77777777" w:rsidR="00BA34F3" w:rsidRPr="00A2344C" w:rsidRDefault="00BA34F3">
      <w:pPr>
        <w:ind w:left="360"/>
        <w:rPr>
          <w:rFonts w:ascii="Arial" w:hAnsi="Arial" w:cs="Arial"/>
          <w:sz w:val="22"/>
          <w:szCs w:val="22"/>
        </w:rPr>
      </w:pPr>
    </w:p>
    <w:p w14:paraId="54234730" w14:textId="77777777" w:rsidR="00E749C8" w:rsidRPr="00A2344C" w:rsidRDefault="00E749C8">
      <w:pPr>
        <w:pStyle w:val="Heading2"/>
        <w:ind w:left="360"/>
        <w:rPr>
          <w:rFonts w:ascii="Arial" w:hAnsi="Arial" w:cs="Arial"/>
          <w:sz w:val="22"/>
          <w:szCs w:val="22"/>
        </w:rPr>
      </w:pPr>
      <w:r w:rsidRPr="00A2344C">
        <w:rPr>
          <w:rFonts w:ascii="Arial" w:hAnsi="Arial" w:cs="Arial"/>
          <w:sz w:val="22"/>
          <w:szCs w:val="22"/>
        </w:rPr>
        <w:t>November/December</w:t>
      </w:r>
    </w:p>
    <w:p w14:paraId="686EDB5F" w14:textId="77777777" w:rsidR="00E749C8" w:rsidRPr="00A2344C" w:rsidRDefault="00E749C8">
      <w:pPr>
        <w:ind w:left="360"/>
        <w:rPr>
          <w:rFonts w:ascii="Arial" w:hAnsi="Arial" w:cs="Arial"/>
          <w:sz w:val="22"/>
          <w:szCs w:val="22"/>
        </w:rPr>
      </w:pPr>
    </w:p>
    <w:p w14:paraId="7FE2AAAB" w14:textId="77777777" w:rsidR="00E749C8" w:rsidRPr="00A2344C" w:rsidRDefault="00E749C8">
      <w:pPr>
        <w:ind w:left="360"/>
        <w:rPr>
          <w:rFonts w:ascii="Arial" w:hAnsi="Arial" w:cs="Arial"/>
          <w:sz w:val="22"/>
          <w:szCs w:val="22"/>
        </w:rPr>
      </w:pPr>
      <w:r w:rsidRPr="00A2344C">
        <w:rPr>
          <w:rFonts w:ascii="Arial" w:hAnsi="Arial" w:cs="Arial"/>
          <w:sz w:val="22"/>
          <w:szCs w:val="22"/>
        </w:rPr>
        <w:t>Submit the Strate</w:t>
      </w:r>
      <w:r w:rsidR="00416183">
        <w:rPr>
          <w:rFonts w:ascii="Arial" w:hAnsi="Arial" w:cs="Arial"/>
          <w:sz w:val="22"/>
          <w:szCs w:val="22"/>
        </w:rPr>
        <w:t xml:space="preserve">gic Plan and iSER </w:t>
      </w:r>
      <w:r w:rsidRPr="00A2344C">
        <w:rPr>
          <w:rFonts w:ascii="Arial" w:hAnsi="Arial" w:cs="Arial"/>
          <w:sz w:val="22"/>
          <w:szCs w:val="22"/>
        </w:rPr>
        <w:t xml:space="preserve">to the AACSB </w:t>
      </w:r>
      <w:r w:rsidR="00434324" w:rsidRPr="00A2344C">
        <w:rPr>
          <w:rFonts w:ascii="Arial" w:hAnsi="Arial" w:cs="Arial"/>
          <w:sz w:val="22"/>
          <w:szCs w:val="22"/>
        </w:rPr>
        <w:t xml:space="preserve">Initial </w:t>
      </w:r>
      <w:r w:rsidRPr="00A2344C">
        <w:rPr>
          <w:rFonts w:ascii="Arial" w:hAnsi="Arial" w:cs="Arial"/>
          <w:sz w:val="22"/>
          <w:szCs w:val="22"/>
        </w:rPr>
        <w:t>Accreditation Committee</w:t>
      </w:r>
    </w:p>
    <w:p w14:paraId="35BA5630" w14:textId="77777777" w:rsidR="00E749C8" w:rsidRDefault="00E749C8">
      <w:pPr>
        <w:ind w:left="360"/>
      </w:pPr>
    </w:p>
    <w:p w14:paraId="488930DA" w14:textId="77777777" w:rsidR="00E749C8" w:rsidRDefault="00E749C8">
      <w:pPr>
        <w:ind w:left="360"/>
      </w:pPr>
    </w:p>
    <w:sectPr w:rsidR="00E749C8" w:rsidSect="00843AC9">
      <w:footerReference w:type="first" r:id="rId17"/>
      <w:pgSz w:w="15840" w:h="12240" w:orient="landscape"/>
      <w:pgMar w:top="1296"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CDFB" w14:textId="77777777" w:rsidR="00645CDC" w:rsidRDefault="00645CDC">
      <w:r>
        <w:separator/>
      </w:r>
    </w:p>
  </w:endnote>
  <w:endnote w:type="continuationSeparator" w:id="0">
    <w:p w14:paraId="552CED36" w14:textId="77777777" w:rsidR="00645CDC" w:rsidRDefault="0064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2AEB" w14:textId="77777777" w:rsidR="00BA34F3" w:rsidRDefault="00A6201B">
    <w:pPr>
      <w:pStyle w:val="Footer"/>
      <w:framePr w:wrap="around" w:vAnchor="text" w:hAnchor="margin" w:xAlign="right" w:y="1"/>
      <w:rPr>
        <w:rStyle w:val="PageNumber"/>
      </w:rPr>
    </w:pPr>
    <w:r>
      <w:rPr>
        <w:rStyle w:val="PageNumber"/>
      </w:rPr>
      <w:fldChar w:fldCharType="begin"/>
    </w:r>
    <w:r w:rsidR="00BA34F3">
      <w:rPr>
        <w:rStyle w:val="PageNumber"/>
      </w:rPr>
      <w:instrText xml:space="preserve">PAGE  </w:instrText>
    </w:r>
    <w:r>
      <w:rPr>
        <w:rStyle w:val="PageNumber"/>
      </w:rPr>
      <w:fldChar w:fldCharType="separate"/>
    </w:r>
    <w:r w:rsidR="00070130">
      <w:rPr>
        <w:rStyle w:val="PageNumber"/>
        <w:noProof/>
      </w:rPr>
      <w:t>4</w:t>
    </w:r>
    <w:r>
      <w:rPr>
        <w:rStyle w:val="PageNumber"/>
      </w:rPr>
      <w:fldChar w:fldCharType="end"/>
    </w:r>
  </w:p>
  <w:p w14:paraId="5B8D3CA8" w14:textId="77777777" w:rsidR="00BA34F3" w:rsidRDefault="00BA3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3F30" w14:textId="77777777" w:rsidR="00BA34F3" w:rsidRDefault="00BA34F3">
    <w:pPr>
      <w:pStyle w:val="Footer"/>
      <w:framePr w:wrap="around" w:vAnchor="text" w:hAnchor="margin" w:xAlign="right" w:y="1"/>
      <w:rPr>
        <w:rStyle w:val="PageNumber"/>
      </w:rPr>
    </w:pPr>
  </w:p>
  <w:p w14:paraId="45B9BE9F" w14:textId="77777777" w:rsidR="00BA34F3" w:rsidRPr="00A2344C" w:rsidRDefault="00BA34F3" w:rsidP="00921789">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7601" w14:textId="655EB2AB" w:rsidR="00B25C18" w:rsidRPr="00B25C18" w:rsidRDefault="00B25C18">
    <w:pPr>
      <w:pStyle w:val="Footer"/>
      <w:rPr>
        <w:rFonts w:ascii="Arial" w:hAnsi="Arial" w:cs="Arial"/>
        <w:sz w:val="16"/>
        <w:szCs w:val="16"/>
      </w:rPr>
    </w:pPr>
    <w:r w:rsidRPr="00B25C18">
      <w:rPr>
        <w:rFonts w:ascii="Arial" w:hAnsi="Arial" w:cs="Arial"/>
        <w:sz w:val="16"/>
        <w:szCs w:val="16"/>
      </w:rPr>
      <w:t>Vis</w:t>
    </w:r>
    <w:r w:rsidR="00DB1C34">
      <w:rPr>
        <w:rFonts w:ascii="Arial" w:hAnsi="Arial" w:cs="Arial"/>
        <w:sz w:val="16"/>
        <w:szCs w:val="16"/>
      </w:rPr>
      <w:t>itReportMentor_Acctg18_</w:t>
    </w:r>
    <w:r w:rsidR="00A106B8">
      <w:rPr>
        <w:rFonts w:ascii="Arial" w:hAnsi="Arial" w:cs="Arial"/>
        <w:sz w:val="16"/>
        <w:szCs w:val="16"/>
      </w:rPr>
      <w:t>v202</w:t>
    </w:r>
    <w:r w:rsidR="000E289B">
      <w:rPr>
        <w:rFonts w:ascii="Arial" w:hAnsi="Arial" w:cs="Arial"/>
        <w:sz w:val="16"/>
        <w:szCs w:val="16"/>
      </w:rPr>
      <w:t>20812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F805" w14:textId="77777777" w:rsidR="00DB1C34" w:rsidRPr="00DB1C34" w:rsidRDefault="00DB1C34" w:rsidP="00DB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C89D" w14:textId="77777777" w:rsidR="00645CDC" w:rsidRDefault="00645CDC">
      <w:r>
        <w:separator/>
      </w:r>
    </w:p>
  </w:footnote>
  <w:footnote w:type="continuationSeparator" w:id="0">
    <w:p w14:paraId="53FE3008" w14:textId="77777777" w:rsidR="00645CDC" w:rsidRDefault="0064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38D4" w14:textId="77777777" w:rsidR="00070130" w:rsidRDefault="00070130" w:rsidP="00070130">
    <w:pPr>
      <w:pStyle w:val="Header"/>
      <w:tabs>
        <w:tab w:val="clear" w:pos="4320"/>
        <w:tab w:val="clear" w:pos="8640"/>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FB29" w14:textId="77777777" w:rsidR="00070130" w:rsidRDefault="00070130">
    <w:pPr>
      <w:pStyle w:val="Header"/>
    </w:pPr>
  </w:p>
  <w:p w14:paraId="7BE41A07" w14:textId="77777777" w:rsidR="00070130" w:rsidRDefault="00070130">
    <w:pPr>
      <w:pStyle w:val="Header"/>
    </w:pPr>
  </w:p>
  <w:p w14:paraId="78C76FF9" w14:textId="77777777" w:rsidR="00070130" w:rsidRDefault="00070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D82"/>
    <w:multiLevelType w:val="hybridMultilevel"/>
    <w:tmpl w:val="A898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0834438">
    <w:abstractNumId w:val="3"/>
  </w:num>
  <w:num w:numId="2" w16cid:durableId="1817650877">
    <w:abstractNumId w:val="4"/>
  </w:num>
  <w:num w:numId="3" w16cid:durableId="1994523340">
    <w:abstractNumId w:val="1"/>
  </w:num>
  <w:num w:numId="4" w16cid:durableId="1624845216">
    <w:abstractNumId w:val="9"/>
  </w:num>
  <w:num w:numId="5" w16cid:durableId="1010453936">
    <w:abstractNumId w:val="2"/>
  </w:num>
  <w:num w:numId="6" w16cid:durableId="567768830">
    <w:abstractNumId w:val="5"/>
  </w:num>
  <w:num w:numId="7" w16cid:durableId="640961935">
    <w:abstractNumId w:val="6"/>
  </w:num>
  <w:num w:numId="8" w16cid:durableId="1070425577">
    <w:abstractNumId w:val="8"/>
  </w:num>
  <w:num w:numId="9" w16cid:durableId="2085253759">
    <w:abstractNumId w:val="7"/>
  </w:num>
  <w:num w:numId="10" w16cid:durableId="75294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C8"/>
    <w:rsid w:val="00005B56"/>
    <w:rsid w:val="00070130"/>
    <w:rsid w:val="000A614A"/>
    <w:rsid w:val="000E289B"/>
    <w:rsid w:val="00103748"/>
    <w:rsid w:val="001039F5"/>
    <w:rsid w:val="001639EC"/>
    <w:rsid w:val="00177BD9"/>
    <w:rsid w:val="001A1081"/>
    <w:rsid w:val="001A4116"/>
    <w:rsid w:val="001B2B15"/>
    <w:rsid w:val="001D5570"/>
    <w:rsid w:val="001F3C05"/>
    <w:rsid w:val="00210CC6"/>
    <w:rsid w:val="00220D20"/>
    <w:rsid w:val="00271BC4"/>
    <w:rsid w:val="002D1CAA"/>
    <w:rsid w:val="003406C7"/>
    <w:rsid w:val="00355E02"/>
    <w:rsid w:val="003B7AF1"/>
    <w:rsid w:val="003D75CD"/>
    <w:rsid w:val="003D76C0"/>
    <w:rsid w:val="00400282"/>
    <w:rsid w:val="00416183"/>
    <w:rsid w:val="00434324"/>
    <w:rsid w:val="004879BD"/>
    <w:rsid w:val="004C2911"/>
    <w:rsid w:val="004C363A"/>
    <w:rsid w:val="004E5CE0"/>
    <w:rsid w:val="00577600"/>
    <w:rsid w:val="005E7A5A"/>
    <w:rsid w:val="0060165E"/>
    <w:rsid w:val="0060655C"/>
    <w:rsid w:val="00645CDC"/>
    <w:rsid w:val="006C5C5D"/>
    <w:rsid w:val="006C6D67"/>
    <w:rsid w:val="0071696D"/>
    <w:rsid w:val="00744A33"/>
    <w:rsid w:val="00774E3C"/>
    <w:rsid w:val="007775BE"/>
    <w:rsid w:val="00843AC9"/>
    <w:rsid w:val="00844634"/>
    <w:rsid w:val="008A2011"/>
    <w:rsid w:val="008E6E7B"/>
    <w:rsid w:val="00921789"/>
    <w:rsid w:val="009A7B41"/>
    <w:rsid w:val="00A106B8"/>
    <w:rsid w:val="00A2344C"/>
    <w:rsid w:val="00A6201B"/>
    <w:rsid w:val="00A83F91"/>
    <w:rsid w:val="00AA7276"/>
    <w:rsid w:val="00AC3E0B"/>
    <w:rsid w:val="00B25C18"/>
    <w:rsid w:val="00B3233E"/>
    <w:rsid w:val="00B752AC"/>
    <w:rsid w:val="00B91A0F"/>
    <w:rsid w:val="00BA34F3"/>
    <w:rsid w:val="00BE58DE"/>
    <w:rsid w:val="00BF74E7"/>
    <w:rsid w:val="00C43D6F"/>
    <w:rsid w:val="00C8503C"/>
    <w:rsid w:val="00CB23D4"/>
    <w:rsid w:val="00CD00FC"/>
    <w:rsid w:val="00CE1DF2"/>
    <w:rsid w:val="00CF194F"/>
    <w:rsid w:val="00D44B05"/>
    <w:rsid w:val="00D76F46"/>
    <w:rsid w:val="00DA6EC6"/>
    <w:rsid w:val="00DB1C34"/>
    <w:rsid w:val="00DB7743"/>
    <w:rsid w:val="00DD5E6F"/>
    <w:rsid w:val="00DE0878"/>
    <w:rsid w:val="00DE7E27"/>
    <w:rsid w:val="00E32DD0"/>
    <w:rsid w:val="00E67728"/>
    <w:rsid w:val="00E749C8"/>
    <w:rsid w:val="00E94347"/>
    <w:rsid w:val="00EE2DC6"/>
    <w:rsid w:val="00EF14ED"/>
    <w:rsid w:val="00EF459F"/>
    <w:rsid w:val="00F10487"/>
    <w:rsid w:val="00F154AA"/>
    <w:rsid w:val="00F17A49"/>
    <w:rsid w:val="00F34E2E"/>
    <w:rsid w:val="00F75664"/>
    <w:rsid w:val="00F84511"/>
    <w:rsid w:val="00FC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D163C4"/>
  <w15:docId w15:val="{72293F75-F7E9-4811-88F1-613683F9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11"/>
    <w:rPr>
      <w:sz w:val="24"/>
      <w:szCs w:val="24"/>
    </w:rPr>
  </w:style>
  <w:style w:type="paragraph" w:styleId="Heading1">
    <w:name w:val="heading 1"/>
    <w:basedOn w:val="Normal"/>
    <w:next w:val="Normal"/>
    <w:qFormat/>
    <w:rsid w:val="00F84511"/>
    <w:pPr>
      <w:keepNext/>
      <w:outlineLvl w:val="0"/>
    </w:pPr>
    <w:rPr>
      <w:b/>
      <w:bCs/>
    </w:rPr>
  </w:style>
  <w:style w:type="paragraph" w:styleId="Heading2">
    <w:name w:val="heading 2"/>
    <w:basedOn w:val="Normal"/>
    <w:next w:val="Normal"/>
    <w:qFormat/>
    <w:rsid w:val="00F84511"/>
    <w:pPr>
      <w:keepNext/>
      <w:outlineLvl w:val="1"/>
    </w:pPr>
    <w:rPr>
      <w:b/>
      <w:bCs/>
      <w:u w:val="single"/>
    </w:rPr>
  </w:style>
  <w:style w:type="paragraph" w:styleId="Heading3">
    <w:name w:val="heading 3"/>
    <w:basedOn w:val="Normal"/>
    <w:next w:val="Normal"/>
    <w:qFormat/>
    <w:rsid w:val="00F8451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4511"/>
    <w:pPr>
      <w:ind w:left="360"/>
    </w:pPr>
  </w:style>
  <w:style w:type="paragraph" w:styleId="BodyTextIndent2">
    <w:name w:val="Body Text Indent 2"/>
    <w:basedOn w:val="Normal"/>
    <w:rsid w:val="00F84511"/>
    <w:pPr>
      <w:ind w:left="360"/>
    </w:pPr>
    <w:rPr>
      <w:b/>
      <w:bCs/>
    </w:rPr>
  </w:style>
  <w:style w:type="paragraph" w:styleId="BodyText">
    <w:name w:val="Body Text"/>
    <w:basedOn w:val="Normal"/>
    <w:rsid w:val="00F84511"/>
    <w:rPr>
      <w:b/>
      <w:bCs/>
    </w:rPr>
  </w:style>
  <w:style w:type="paragraph" w:styleId="Footer">
    <w:name w:val="footer"/>
    <w:basedOn w:val="Normal"/>
    <w:rsid w:val="00F84511"/>
    <w:pPr>
      <w:tabs>
        <w:tab w:val="center" w:pos="4320"/>
        <w:tab w:val="right" w:pos="8640"/>
      </w:tabs>
    </w:pPr>
  </w:style>
  <w:style w:type="character" w:styleId="PageNumber">
    <w:name w:val="page number"/>
    <w:basedOn w:val="DefaultParagraphFont"/>
    <w:rsid w:val="00F84511"/>
  </w:style>
  <w:style w:type="paragraph" w:styleId="Header">
    <w:name w:val="header"/>
    <w:basedOn w:val="Normal"/>
    <w:rsid w:val="00F84511"/>
    <w:pPr>
      <w:tabs>
        <w:tab w:val="center" w:pos="4320"/>
        <w:tab w:val="right" w:pos="8640"/>
      </w:tabs>
    </w:pPr>
  </w:style>
  <w:style w:type="character" w:styleId="Hyperlink">
    <w:name w:val="Hyperlink"/>
    <w:basedOn w:val="DefaultParagraphFont"/>
    <w:rsid w:val="00B752AC"/>
    <w:rPr>
      <w:color w:val="0000FF"/>
      <w:u w:val="single"/>
    </w:rPr>
  </w:style>
  <w:style w:type="paragraph" w:styleId="BalloonText">
    <w:name w:val="Balloon Text"/>
    <w:basedOn w:val="Normal"/>
    <w:link w:val="BalloonTextChar"/>
    <w:rsid w:val="00B752AC"/>
    <w:rPr>
      <w:rFonts w:ascii="Tahoma" w:hAnsi="Tahoma" w:cs="Tahoma"/>
      <w:sz w:val="16"/>
      <w:szCs w:val="16"/>
    </w:rPr>
  </w:style>
  <w:style w:type="character" w:customStyle="1" w:styleId="BalloonTextChar">
    <w:name w:val="Balloon Text Char"/>
    <w:basedOn w:val="DefaultParagraphFont"/>
    <w:link w:val="BalloonText"/>
    <w:rsid w:val="00B752AC"/>
    <w:rPr>
      <w:rFonts w:ascii="Tahoma" w:hAnsi="Tahoma" w:cs="Tahoma"/>
      <w:sz w:val="16"/>
      <w:szCs w:val="16"/>
    </w:rPr>
  </w:style>
  <w:style w:type="character" w:styleId="CommentReference">
    <w:name w:val="annotation reference"/>
    <w:basedOn w:val="DefaultParagraphFont"/>
    <w:rsid w:val="00AA7276"/>
    <w:rPr>
      <w:sz w:val="16"/>
      <w:szCs w:val="16"/>
    </w:rPr>
  </w:style>
  <w:style w:type="paragraph" w:styleId="CommentText">
    <w:name w:val="annotation text"/>
    <w:basedOn w:val="Normal"/>
    <w:link w:val="CommentTextChar"/>
    <w:rsid w:val="00AA7276"/>
    <w:rPr>
      <w:sz w:val="20"/>
      <w:szCs w:val="20"/>
    </w:rPr>
  </w:style>
  <w:style w:type="character" w:customStyle="1" w:styleId="CommentTextChar">
    <w:name w:val="Comment Text Char"/>
    <w:basedOn w:val="DefaultParagraphFont"/>
    <w:link w:val="CommentText"/>
    <w:rsid w:val="00AA7276"/>
  </w:style>
  <w:style w:type="paragraph" w:styleId="CommentSubject">
    <w:name w:val="annotation subject"/>
    <w:basedOn w:val="CommentText"/>
    <w:next w:val="CommentText"/>
    <w:link w:val="CommentSubjectChar"/>
    <w:rsid w:val="00AA7276"/>
    <w:rPr>
      <w:b/>
      <w:bCs/>
    </w:rPr>
  </w:style>
  <w:style w:type="character" w:customStyle="1" w:styleId="CommentSubjectChar">
    <w:name w:val="Comment Subject Char"/>
    <w:basedOn w:val="CommentTextChar"/>
    <w:link w:val="CommentSubject"/>
    <w:rsid w:val="00AA7276"/>
    <w:rPr>
      <w:b/>
      <w:bCs/>
    </w:rPr>
  </w:style>
  <w:style w:type="paragraph" w:styleId="ListParagraph">
    <w:name w:val="List Paragraph"/>
    <w:basedOn w:val="Normal"/>
    <w:uiPriority w:val="34"/>
    <w:qFormat/>
    <w:rsid w:val="00B25C18"/>
    <w:pPr>
      <w:ind w:left="720"/>
      <w:contextualSpacing/>
    </w:pPr>
  </w:style>
  <w:style w:type="paragraph" w:styleId="Revision">
    <w:name w:val="Revision"/>
    <w:hidden/>
    <w:uiPriority w:val="99"/>
    <w:semiHidden/>
    <w:rsid w:val="00CE1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8" ma:contentTypeDescription="Create a new document." ma:contentTypeScope="" ma:versionID="96451227584eb0c65eade1e71eadb076">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cb2c97b898f7a3b628c918067ed0a38f"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02A7-D4AF-4D78-9C74-BF58D77E734C}">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2.xml><?xml version="1.0" encoding="utf-8"?>
<ds:datastoreItem xmlns:ds="http://schemas.openxmlformats.org/officeDocument/2006/customXml" ds:itemID="{8E089355-B89E-48BF-AE1C-F0650123E97F}">
  <ds:schemaRefs>
    <ds:schemaRef ds:uri="http://schemas.microsoft.com/sharepoint/v3/contenttype/forms"/>
  </ds:schemaRefs>
</ds:datastoreItem>
</file>

<file path=customXml/itemProps3.xml><?xml version="1.0" encoding="utf-8"?>
<ds:datastoreItem xmlns:ds="http://schemas.openxmlformats.org/officeDocument/2006/customXml" ds:itemID="{41DB3DE2-4C0D-458E-8495-5C719227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48864-F76E-438C-A97F-69E6E8C3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600</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Mentor Visit Report - US</vt:lpstr>
    </vt:vector>
  </TitlesOfParts>
  <Company>UMass Lowell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Mentor Visit Report - US</dc:title>
  <dc:creator>C. P. Carter</dc:creator>
  <cp:lastModifiedBy>Rachel Dixon-Zudar</cp:lastModifiedBy>
  <cp:revision>4</cp:revision>
  <cp:lastPrinted>2010-02-01T19:17:00Z</cp:lastPrinted>
  <dcterms:created xsi:type="dcterms:W3CDTF">2022-08-12T17:11:00Z</dcterms:created>
  <dcterms:modified xsi:type="dcterms:W3CDTF">2022-08-12T17:20:00Z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30503000</vt:r8>
  </property>
  <property fmtid="{D5CDD505-2E9C-101B-9397-08002B2CF9AE}" pid="4" name="MediaServiceImageTags">
    <vt:lpwstr/>
  </property>
</Properties>
</file>