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5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7020"/>
        <w:gridCol w:w="7560"/>
      </w:tblGrid>
      <w:tr w:rsidR="001A1081" w:rsidRPr="009A3881" w:rsidTr="008C5CA9">
        <w:trPr>
          <w:trHeight w:val="183"/>
        </w:trPr>
        <w:tc>
          <w:tcPr>
            <w:tcW w:w="7020" w:type="dxa"/>
            <w:vAlign w:val="center"/>
          </w:tcPr>
          <w:p w:rsidR="001A1081" w:rsidRPr="009A3881" w:rsidRDefault="001A1081" w:rsidP="00091009">
            <w:pPr>
              <w:tabs>
                <w:tab w:val="left" w:pos="4920"/>
              </w:tabs>
              <w:jc w:val="center"/>
              <w:rPr>
                <w:rFonts w:ascii="Arial" w:hAnsi="Arial" w:cs="Arial"/>
                <w:sz w:val="20"/>
                <w:szCs w:val="20"/>
              </w:rPr>
            </w:pPr>
            <w:r w:rsidRPr="009A3881">
              <w:rPr>
                <w:rFonts w:ascii="Arial" w:hAnsi="Arial" w:cs="Arial"/>
                <w:b/>
                <w:sz w:val="20"/>
                <w:szCs w:val="20"/>
              </w:rPr>
              <w:t>AACSB ELIGIBILITY PROCEDURES</w:t>
            </w:r>
          </w:p>
        </w:tc>
        <w:tc>
          <w:tcPr>
            <w:tcW w:w="7560" w:type="dxa"/>
            <w:vAlign w:val="center"/>
          </w:tcPr>
          <w:p w:rsidR="001A1081" w:rsidRPr="009A3881" w:rsidRDefault="001A1081" w:rsidP="00091009">
            <w:pPr>
              <w:tabs>
                <w:tab w:val="left" w:pos="4920"/>
              </w:tabs>
              <w:jc w:val="center"/>
              <w:rPr>
                <w:rFonts w:ascii="Arial" w:hAnsi="Arial" w:cs="Arial"/>
                <w:b/>
                <w:sz w:val="20"/>
                <w:szCs w:val="20"/>
              </w:rPr>
            </w:pPr>
            <w:r w:rsidRPr="009A3881">
              <w:rPr>
                <w:rFonts w:ascii="Arial" w:hAnsi="Arial" w:cs="Arial"/>
                <w:b/>
                <w:sz w:val="20"/>
                <w:szCs w:val="20"/>
              </w:rPr>
              <w:t>QUESTIONS/COMMENTS</w:t>
            </w:r>
          </w:p>
        </w:tc>
      </w:tr>
      <w:tr w:rsidR="001A1081" w:rsidRPr="009A3881" w:rsidTr="009A3881">
        <w:trPr>
          <w:trHeight w:val="1440"/>
        </w:trPr>
        <w:tc>
          <w:tcPr>
            <w:tcW w:w="7020" w:type="dxa"/>
          </w:tcPr>
          <w:p w:rsidR="001A1081" w:rsidRPr="009A3881" w:rsidRDefault="001A1081" w:rsidP="00091009">
            <w:pPr>
              <w:rPr>
                <w:rFonts w:ascii="Arial" w:hAnsi="Arial" w:cs="Arial"/>
                <w:sz w:val="20"/>
                <w:szCs w:val="20"/>
              </w:rPr>
            </w:pPr>
            <w:r w:rsidRPr="009A3881">
              <w:rPr>
                <w:rFonts w:ascii="Arial" w:hAnsi="Arial" w:cs="Arial"/>
                <w:sz w:val="20"/>
                <w:szCs w:val="20"/>
              </w:rPr>
              <w:t xml:space="preserve">A.  </w:t>
            </w:r>
            <w:r w:rsidR="00C8503C" w:rsidRPr="009A3881">
              <w:rPr>
                <w:rFonts w:ascii="Arial" w:hAnsi="Arial" w:cs="Arial"/>
                <w:sz w:val="20"/>
                <w:szCs w:val="20"/>
              </w:rPr>
              <w:t xml:space="preserve">The school must encourage and support ethical behavior by students, faculty, administrators, and professional staff. </w:t>
            </w:r>
          </w:p>
          <w:p w:rsidR="001A1081" w:rsidRPr="009A3881" w:rsidRDefault="001A1081" w:rsidP="00091009">
            <w:pPr>
              <w:rPr>
                <w:rFonts w:ascii="Arial" w:hAnsi="Arial" w:cs="Arial"/>
                <w:sz w:val="20"/>
                <w:szCs w:val="20"/>
              </w:rPr>
            </w:pPr>
          </w:p>
        </w:tc>
        <w:tc>
          <w:tcPr>
            <w:tcW w:w="7560" w:type="dxa"/>
          </w:tcPr>
          <w:p w:rsidR="001A1081" w:rsidRPr="009A3881" w:rsidRDefault="001A1081" w:rsidP="00091009">
            <w:pPr>
              <w:rPr>
                <w:rFonts w:ascii="Arial" w:hAnsi="Arial" w:cs="Arial"/>
                <w:sz w:val="20"/>
                <w:szCs w:val="20"/>
              </w:rPr>
            </w:pPr>
          </w:p>
          <w:p w:rsidR="001A1081" w:rsidRPr="009A3881" w:rsidRDefault="001A1081" w:rsidP="00091009">
            <w:pPr>
              <w:rPr>
                <w:rFonts w:ascii="Arial" w:hAnsi="Arial" w:cs="Arial"/>
                <w:sz w:val="20"/>
                <w:szCs w:val="20"/>
              </w:rPr>
            </w:pPr>
          </w:p>
          <w:p w:rsidR="001A1081" w:rsidRPr="009A3881" w:rsidRDefault="001A1081" w:rsidP="00091009">
            <w:pPr>
              <w:rPr>
                <w:rFonts w:ascii="Arial" w:hAnsi="Arial" w:cs="Arial"/>
                <w:sz w:val="20"/>
                <w:szCs w:val="20"/>
              </w:rPr>
            </w:pPr>
          </w:p>
          <w:p w:rsidR="001A1081" w:rsidRPr="009A3881" w:rsidRDefault="001A1081" w:rsidP="00091009">
            <w:pPr>
              <w:rPr>
                <w:rFonts w:ascii="Arial" w:hAnsi="Arial" w:cs="Arial"/>
                <w:sz w:val="20"/>
                <w:szCs w:val="20"/>
              </w:rPr>
            </w:pPr>
          </w:p>
          <w:p w:rsidR="001A1081" w:rsidRPr="009A3881" w:rsidRDefault="001A1081" w:rsidP="00091009">
            <w:pPr>
              <w:rPr>
                <w:rFonts w:ascii="Arial" w:hAnsi="Arial" w:cs="Arial"/>
                <w:sz w:val="20"/>
                <w:szCs w:val="20"/>
              </w:rPr>
            </w:pPr>
          </w:p>
        </w:tc>
      </w:tr>
      <w:tr w:rsidR="001A1081" w:rsidRPr="009A3881" w:rsidTr="009A3881">
        <w:trPr>
          <w:trHeight w:val="1440"/>
        </w:trPr>
        <w:tc>
          <w:tcPr>
            <w:tcW w:w="7020" w:type="dxa"/>
          </w:tcPr>
          <w:p w:rsidR="001A1081" w:rsidRPr="009A3881" w:rsidRDefault="001A1081" w:rsidP="00091009">
            <w:pPr>
              <w:rPr>
                <w:rFonts w:ascii="Arial" w:hAnsi="Arial" w:cs="Arial"/>
                <w:sz w:val="20"/>
                <w:szCs w:val="20"/>
              </w:rPr>
            </w:pPr>
            <w:r w:rsidRPr="009A3881">
              <w:rPr>
                <w:rFonts w:ascii="Arial" w:hAnsi="Arial" w:cs="Arial"/>
                <w:sz w:val="20"/>
                <w:szCs w:val="20"/>
              </w:rPr>
              <w:t xml:space="preserve">B. </w:t>
            </w:r>
            <w:r w:rsidR="00C8503C" w:rsidRPr="009A3881">
              <w:rPr>
                <w:rFonts w:ascii="Arial" w:hAnsi="Arial" w:cs="Arial"/>
                <w:sz w:val="20"/>
                <w:szCs w:val="20"/>
              </w:rPr>
              <w:t xml:space="preserve"> The school maintains a collegiate environment in which students, faculty, administrators, professional staff, and practitioners interact and collaborate in support of learning, scholarship, and community engagement.</w:t>
            </w:r>
          </w:p>
          <w:p w:rsidR="00C8503C" w:rsidRPr="009A3881" w:rsidRDefault="00C8503C" w:rsidP="00091009">
            <w:pPr>
              <w:rPr>
                <w:rFonts w:ascii="Arial" w:hAnsi="Arial" w:cs="Arial"/>
                <w:i/>
                <w:sz w:val="20"/>
                <w:szCs w:val="20"/>
              </w:rPr>
            </w:pPr>
          </w:p>
        </w:tc>
        <w:tc>
          <w:tcPr>
            <w:tcW w:w="7560" w:type="dxa"/>
          </w:tcPr>
          <w:p w:rsidR="001A1081" w:rsidRPr="009A3881" w:rsidRDefault="001A1081" w:rsidP="00091009">
            <w:pPr>
              <w:rPr>
                <w:rFonts w:ascii="Arial" w:hAnsi="Arial" w:cs="Arial"/>
                <w:sz w:val="20"/>
                <w:szCs w:val="20"/>
              </w:rPr>
            </w:pPr>
          </w:p>
          <w:p w:rsidR="001A1081" w:rsidRPr="009A3881" w:rsidRDefault="001A1081" w:rsidP="00091009">
            <w:pPr>
              <w:rPr>
                <w:rFonts w:ascii="Arial" w:hAnsi="Arial" w:cs="Arial"/>
                <w:sz w:val="20"/>
                <w:szCs w:val="20"/>
              </w:rPr>
            </w:pPr>
          </w:p>
          <w:p w:rsidR="001A1081" w:rsidRPr="009A3881" w:rsidRDefault="001A1081" w:rsidP="00091009">
            <w:pPr>
              <w:rPr>
                <w:rFonts w:ascii="Arial" w:hAnsi="Arial" w:cs="Arial"/>
                <w:sz w:val="20"/>
                <w:szCs w:val="20"/>
              </w:rPr>
            </w:pPr>
          </w:p>
          <w:p w:rsidR="001A1081" w:rsidRPr="009A3881" w:rsidRDefault="001A1081" w:rsidP="00091009">
            <w:pPr>
              <w:rPr>
                <w:rFonts w:ascii="Arial" w:hAnsi="Arial" w:cs="Arial"/>
                <w:sz w:val="20"/>
                <w:szCs w:val="20"/>
              </w:rPr>
            </w:pPr>
          </w:p>
          <w:p w:rsidR="001A1081" w:rsidRPr="009A3881" w:rsidRDefault="001A1081" w:rsidP="00091009">
            <w:pPr>
              <w:rPr>
                <w:rFonts w:ascii="Arial" w:hAnsi="Arial" w:cs="Arial"/>
                <w:sz w:val="20"/>
                <w:szCs w:val="20"/>
              </w:rPr>
            </w:pPr>
          </w:p>
        </w:tc>
      </w:tr>
      <w:tr w:rsidR="001A1081" w:rsidRPr="009A3881" w:rsidTr="009A3881">
        <w:trPr>
          <w:trHeight w:val="1440"/>
        </w:trPr>
        <w:tc>
          <w:tcPr>
            <w:tcW w:w="7020" w:type="dxa"/>
          </w:tcPr>
          <w:p w:rsidR="001A1081" w:rsidRPr="009A3881" w:rsidRDefault="001A1081" w:rsidP="00091009">
            <w:pPr>
              <w:rPr>
                <w:rFonts w:ascii="Arial" w:hAnsi="Arial" w:cs="Arial"/>
                <w:sz w:val="20"/>
                <w:szCs w:val="20"/>
              </w:rPr>
            </w:pPr>
            <w:r w:rsidRPr="009A3881">
              <w:rPr>
                <w:rFonts w:ascii="Arial" w:hAnsi="Arial" w:cs="Arial"/>
                <w:sz w:val="20"/>
                <w:szCs w:val="20"/>
              </w:rPr>
              <w:t xml:space="preserve">C. </w:t>
            </w:r>
            <w:r w:rsidR="00C8503C" w:rsidRPr="009A3881">
              <w:rPr>
                <w:rFonts w:ascii="Arial" w:hAnsi="Arial" w:cs="Arial"/>
                <w:sz w:val="20"/>
                <w:szCs w:val="20"/>
              </w:rPr>
              <w:t xml:space="preserve"> The school must demonstrate a commitment to address, engage, and respond to current and emerging corporate social responsibility issues (e.g., diversity, sustainable development, environmental sustainability, and globalization of economic activity across cultures) through its policies, procedures, curricula, research, and/or outreach activities.</w:t>
            </w:r>
          </w:p>
          <w:p w:rsidR="00C8503C" w:rsidRPr="009A3881" w:rsidRDefault="00C8503C" w:rsidP="00091009">
            <w:pPr>
              <w:rPr>
                <w:rFonts w:ascii="Arial" w:hAnsi="Arial" w:cs="Arial"/>
                <w:sz w:val="20"/>
                <w:szCs w:val="20"/>
              </w:rPr>
            </w:pPr>
          </w:p>
        </w:tc>
        <w:tc>
          <w:tcPr>
            <w:tcW w:w="7560" w:type="dxa"/>
          </w:tcPr>
          <w:p w:rsidR="001A1081" w:rsidRPr="009A3881" w:rsidRDefault="001A1081" w:rsidP="00091009">
            <w:pPr>
              <w:rPr>
                <w:rFonts w:ascii="Arial" w:hAnsi="Arial" w:cs="Arial"/>
                <w:sz w:val="20"/>
                <w:szCs w:val="20"/>
              </w:rPr>
            </w:pPr>
          </w:p>
          <w:p w:rsidR="001A1081" w:rsidRPr="009A3881" w:rsidRDefault="001A1081" w:rsidP="00091009">
            <w:pPr>
              <w:rPr>
                <w:rFonts w:ascii="Arial" w:hAnsi="Arial" w:cs="Arial"/>
                <w:sz w:val="20"/>
                <w:szCs w:val="20"/>
              </w:rPr>
            </w:pPr>
          </w:p>
          <w:p w:rsidR="001A1081" w:rsidRPr="009A3881" w:rsidRDefault="001A1081" w:rsidP="00091009">
            <w:pPr>
              <w:rPr>
                <w:rFonts w:ascii="Arial" w:hAnsi="Arial" w:cs="Arial"/>
                <w:sz w:val="20"/>
                <w:szCs w:val="20"/>
              </w:rPr>
            </w:pPr>
          </w:p>
          <w:p w:rsidR="001A1081" w:rsidRPr="009A3881" w:rsidRDefault="001A1081" w:rsidP="00091009">
            <w:pPr>
              <w:rPr>
                <w:rFonts w:ascii="Arial" w:hAnsi="Arial" w:cs="Arial"/>
                <w:sz w:val="20"/>
                <w:szCs w:val="20"/>
              </w:rPr>
            </w:pPr>
          </w:p>
          <w:p w:rsidR="001A1081" w:rsidRPr="009A3881" w:rsidRDefault="001A1081" w:rsidP="00091009">
            <w:pPr>
              <w:rPr>
                <w:rFonts w:ascii="Arial" w:hAnsi="Arial" w:cs="Arial"/>
                <w:sz w:val="20"/>
                <w:szCs w:val="20"/>
              </w:rPr>
            </w:pPr>
          </w:p>
        </w:tc>
      </w:tr>
      <w:tr w:rsidR="001A1081" w:rsidRPr="009A3881" w:rsidTr="009A3881">
        <w:trPr>
          <w:trHeight w:val="1440"/>
        </w:trPr>
        <w:tc>
          <w:tcPr>
            <w:tcW w:w="7020" w:type="dxa"/>
          </w:tcPr>
          <w:p w:rsidR="001A1081" w:rsidRPr="009A3881" w:rsidRDefault="001A1081" w:rsidP="00091009">
            <w:pPr>
              <w:rPr>
                <w:rFonts w:ascii="Arial" w:hAnsi="Arial" w:cs="Arial"/>
                <w:sz w:val="20"/>
                <w:szCs w:val="20"/>
              </w:rPr>
            </w:pPr>
            <w:r w:rsidRPr="009A3881">
              <w:rPr>
                <w:rFonts w:ascii="Arial" w:hAnsi="Arial" w:cs="Arial"/>
                <w:sz w:val="20"/>
                <w:szCs w:val="20"/>
              </w:rPr>
              <w:t xml:space="preserve">D. </w:t>
            </w:r>
            <w:r w:rsidR="00C8503C" w:rsidRPr="009A3881">
              <w:rPr>
                <w:rFonts w:ascii="Arial" w:hAnsi="Arial" w:cs="Arial"/>
                <w:sz w:val="20"/>
                <w:szCs w:val="20"/>
              </w:rPr>
              <w:t xml:space="preserve"> An applicant for AACSB accreditation must be a well-defined, established entity and a member of AACSB International in good standing. The entity seeking AACSB accreditation may be an institution authorized to award bachelor’s degrees or higher (in business) or under certain circumstances a business academic unit within a larger institution.</w:t>
            </w:r>
          </w:p>
          <w:p w:rsidR="001A1081" w:rsidRPr="009A3881" w:rsidRDefault="001A1081" w:rsidP="00091009">
            <w:pPr>
              <w:rPr>
                <w:rFonts w:ascii="Arial" w:hAnsi="Arial" w:cs="Arial"/>
                <w:sz w:val="20"/>
                <w:szCs w:val="20"/>
              </w:rPr>
            </w:pPr>
          </w:p>
        </w:tc>
        <w:tc>
          <w:tcPr>
            <w:tcW w:w="7560" w:type="dxa"/>
          </w:tcPr>
          <w:p w:rsidR="001A1081" w:rsidRPr="009A3881" w:rsidRDefault="001A1081" w:rsidP="00091009">
            <w:pPr>
              <w:rPr>
                <w:rFonts w:ascii="Arial" w:hAnsi="Arial" w:cs="Arial"/>
                <w:sz w:val="20"/>
                <w:szCs w:val="20"/>
              </w:rPr>
            </w:pPr>
          </w:p>
          <w:p w:rsidR="001A1081" w:rsidRPr="009A3881" w:rsidRDefault="001A1081" w:rsidP="00091009">
            <w:pPr>
              <w:rPr>
                <w:rFonts w:ascii="Arial" w:hAnsi="Arial" w:cs="Arial"/>
                <w:sz w:val="20"/>
                <w:szCs w:val="20"/>
              </w:rPr>
            </w:pPr>
          </w:p>
          <w:p w:rsidR="001A1081" w:rsidRPr="009A3881" w:rsidRDefault="001A1081" w:rsidP="00091009">
            <w:pPr>
              <w:rPr>
                <w:rFonts w:ascii="Arial" w:hAnsi="Arial" w:cs="Arial"/>
                <w:sz w:val="20"/>
                <w:szCs w:val="20"/>
              </w:rPr>
            </w:pPr>
          </w:p>
          <w:p w:rsidR="001A1081" w:rsidRPr="009A3881" w:rsidRDefault="001A1081" w:rsidP="00091009">
            <w:pPr>
              <w:rPr>
                <w:rFonts w:ascii="Arial" w:hAnsi="Arial" w:cs="Arial"/>
                <w:sz w:val="20"/>
                <w:szCs w:val="20"/>
              </w:rPr>
            </w:pPr>
          </w:p>
          <w:p w:rsidR="001A1081" w:rsidRPr="009A3881" w:rsidRDefault="001A1081" w:rsidP="00091009">
            <w:pPr>
              <w:rPr>
                <w:rFonts w:ascii="Arial" w:hAnsi="Arial" w:cs="Arial"/>
                <w:sz w:val="20"/>
                <w:szCs w:val="20"/>
              </w:rPr>
            </w:pPr>
          </w:p>
        </w:tc>
      </w:tr>
      <w:tr w:rsidR="001A1081" w:rsidRPr="009A3881" w:rsidTr="009A3881">
        <w:trPr>
          <w:trHeight w:val="1440"/>
        </w:trPr>
        <w:tc>
          <w:tcPr>
            <w:tcW w:w="7020" w:type="dxa"/>
          </w:tcPr>
          <w:p w:rsidR="001A1081" w:rsidRPr="009A3881" w:rsidRDefault="001A1081" w:rsidP="00091009">
            <w:pPr>
              <w:rPr>
                <w:rFonts w:ascii="Arial" w:hAnsi="Arial" w:cs="Arial"/>
                <w:sz w:val="20"/>
                <w:szCs w:val="20"/>
              </w:rPr>
            </w:pPr>
            <w:r w:rsidRPr="009A3881">
              <w:rPr>
                <w:rFonts w:ascii="Arial" w:hAnsi="Arial" w:cs="Arial"/>
                <w:sz w:val="20"/>
                <w:szCs w:val="20"/>
              </w:rPr>
              <w:t xml:space="preserve">E.  </w:t>
            </w:r>
            <w:r w:rsidR="00C8503C" w:rsidRPr="009A3881">
              <w:rPr>
                <w:rFonts w:ascii="Arial" w:hAnsi="Arial" w:cs="Arial"/>
                <w:sz w:val="20"/>
                <w:szCs w:val="20"/>
              </w:rPr>
              <w:t>The school must be structured to ensure proper oversight, accountability, and responsibility for the school’s operations; must be supported by continuing resources (human, financial, infrastructure, and physical); and must have policies and processes for continuous improvement.</w:t>
            </w:r>
          </w:p>
          <w:p w:rsidR="00C8503C" w:rsidRPr="009A3881" w:rsidRDefault="00C8503C" w:rsidP="00091009">
            <w:pPr>
              <w:rPr>
                <w:rFonts w:ascii="Arial" w:hAnsi="Arial" w:cs="Arial"/>
                <w:sz w:val="20"/>
                <w:szCs w:val="20"/>
              </w:rPr>
            </w:pPr>
          </w:p>
        </w:tc>
        <w:tc>
          <w:tcPr>
            <w:tcW w:w="7560" w:type="dxa"/>
          </w:tcPr>
          <w:p w:rsidR="001A1081" w:rsidRPr="009A3881" w:rsidRDefault="001A1081" w:rsidP="00091009">
            <w:pPr>
              <w:rPr>
                <w:rFonts w:ascii="Arial" w:hAnsi="Arial" w:cs="Arial"/>
                <w:sz w:val="20"/>
                <w:szCs w:val="20"/>
              </w:rPr>
            </w:pPr>
          </w:p>
          <w:p w:rsidR="001A1081" w:rsidRPr="009A3881" w:rsidRDefault="001A1081" w:rsidP="00091009">
            <w:pPr>
              <w:rPr>
                <w:rFonts w:ascii="Arial" w:hAnsi="Arial" w:cs="Arial"/>
                <w:sz w:val="20"/>
                <w:szCs w:val="20"/>
              </w:rPr>
            </w:pPr>
          </w:p>
          <w:p w:rsidR="001A1081" w:rsidRPr="009A3881" w:rsidRDefault="001A1081" w:rsidP="00091009">
            <w:pPr>
              <w:rPr>
                <w:rFonts w:ascii="Arial" w:hAnsi="Arial" w:cs="Arial"/>
                <w:sz w:val="20"/>
                <w:szCs w:val="20"/>
              </w:rPr>
            </w:pPr>
          </w:p>
          <w:p w:rsidR="001A1081" w:rsidRPr="009A3881" w:rsidRDefault="001A1081" w:rsidP="00091009">
            <w:pPr>
              <w:rPr>
                <w:rFonts w:ascii="Arial" w:hAnsi="Arial" w:cs="Arial"/>
                <w:sz w:val="20"/>
                <w:szCs w:val="20"/>
              </w:rPr>
            </w:pPr>
          </w:p>
        </w:tc>
      </w:tr>
      <w:tr w:rsidR="001A1081" w:rsidRPr="009A3881" w:rsidTr="009A3881">
        <w:trPr>
          <w:trHeight w:val="1440"/>
        </w:trPr>
        <w:tc>
          <w:tcPr>
            <w:tcW w:w="7020" w:type="dxa"/>
          </w:tcPr>
          <w:p w:rsidR="001A1081" w:rsidRPr="009A3881" w:rsidRDefault="001A1081" w:rsidP="00091009">
            <w:pPr>
              <w:rPr>
                <w:rFonts w:ascii="Arial" w:hAnsi="Arial" w:cs="Arial"/>
                <w:sz w:val="20"/>
                <w:szCs w:val="20"/>
              </w:rPr>
            </w:pPr>
            <w:r w:rsidRPr="009A3881">
              <w:rPr>
                <w:rFonts w:ascii="Arial" w:hAnsi="Arial" w:cs="Arial"/>
                <w:sz w:val="20"/>
                <w:szCs w:val="20"/>
              </w:rPr>
              <w:t xml:space="preserve">F.  </w:t>
            </w:r>
            <w:r w:rsidR="00C8503C" w:rsidRPr="009A3881">
              <w:rPr>
                <w:rFonts w:ascii="Arial" w:hAnsi="Arial" w:cs="Arial"/>
                <w:sz w:val="20"/>
                <w:szCs w:val="20"/>
              </w:rPr>
              <w:t>All degree programs included in the AACSB accreditation review must demonstrate continuing adherence to AACSB accreditation standards. Schools are expected to maintain and provide timely, accurate information in support of each accreditation review.</w:t>
            </w:r>
          </w:p>
          <w:p w:rsidR="00C8503C" w:rsidRPr="009A3881" w:rsidRDefault="00C8503C" w:rsidP="00091009">
            <w:pPr>
              <w:rPr>
                <w:rFonts w:ascii="Arial" w:hAnsi="Arial" w:cs="Arial"/>
                <w:b/>
                <w:sz w:val="20"/>
                <w:szCs w:val="20"/>
              </w:rPr>
            </w:pPr>
          </w:p>
        </w:tc>
        <w:tc>
          <w:tcPr>
            <w:tcW w:w="7560" w:type="dxa"/>
          </w:tcPr>
          <w:p w:rsidR="001A1081" w:rsidRPr="009A3881" w:rsidRDefault="001A1081" w:rsidP="00091009">
            <w:pPr>
              <w:rPr>
                <w:rFonts w:ascii="Arial" w:hAnsi="Arial" w:cs="Arial"/>
                <w:b/>
                <w:sz w:val="20"/>
                <w:szCs w:val="20"/>
              </w:rPr>
            </w:pPr>
          </w:p>
          <w:p w:rsidR="001A1081" w:rsidRPr="009A3881" w:rsidRDefault="001A1081" w:rsidP="00091009">
            <w:pPr>
              <w:rPr>
                <w:rFonts w:ascii="Arial" w:hAnsi="Arial" w:cs="Arial"/>
                <w:b/>
                <w:sz w:val="20"/>
                <w:szCs w:val="20"/>
              </w:rPr>
            </w:pPr>
          </w:p>
          <w:p w:rsidR="001A1081" w:rsidRPr="009A3881" w:rsidRDefault="001A1081" w:rsidP="00091009">
            <w:pPr>
              <w:rPr>
                <w:rFonts w:ascii="Arial" w:hAnsi="Arial" w:cs="Arial"/>
                <w:b/>
                <w:sz w:val="20"/>
                <w:szCs w:val="20"/>
              </w:rPr>
            </w:pPr>
          </w:p>
          <w:p w:rsidR="001A1081" w:rsidRPr="009A3881" w:rsidRDefault="001A1081" w:rsidP="00091009">
            <w:pPr>
              <w:rPr>
                <w:rFonts w:ascii="Arial" w:hAnsi="Arial" w:cs="Arial"/>
                <w:b/>
                <w:sz w:val="20"/>
                <w:szCs w:val="20"/>
              </w:rPr>
            </w:pPr>
          </w:p>
          <w:p w:rsidR="001A1081" w:rsidRPr="009A3881" w:rsidRDefault="001A1081" w:rsidP="00091009">
            <w:pPr>
              <w:rPr>
                <w:rFonts w:ascii="Arial" w:hAnsi="Arial" w:cs="Arial"/>
                <w:b/>
                <w:sz w:val="20"/>
                <w:szCs w:val="20"/>
              </w:rPr>
            </w:pPr>
          </w:p>
        </w:tc>
      </w:tr>
    </w:tbl>
    <w:p w:rsidR="00091009" w:rsidRPr="009A3881" w:rsidRDefault="00091009">
      <w:pPr>
        <w:rPr>
          <w:rFonts w:ascii="Arial" w:hAnsi="Arial" w:cs="Arial"/>
          <w:sz w:val="20"/>
          <w:szCs w:val="20"/>
        </w:rPr>
      </w:pPr>
      <w:bookmarkStart w:id="0" w:name="_GoBack"/>
      <w:bookmarkEnd w:id="0"/>
    </w:p>
    <w:p w:rsidR="00091009" w:rsidRPr="009A3881" w:rsidRDefault="00091009">
      <w:pPr>
        <w:rPr>
          <w:rFonts w:ascii="Arial" w:hAnsi="Arial" w:cs="Arial"/>
          <w:sz w:val="20"/>
          <w:szCs w:val="20"/>
        </w:rPr>
      </w:pPr>
      <w:r w:rsidRPr="009A3881">
        <w:rPr>
          <w:rFonts w:ascii="Arial" w:hAnsi="Arial" w:cs="Arial"/>
          <w:sz w:val="20"/>
          <w:szCs w:val="20"/>
        </w:rPr>
        <w:br w:type="page"/>
      </w:r>
    </w:p>
    <w:tbl>
      <w:tblPr>
        <w:tblW w:w="14508"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7578"/>
      </w:tblGrid>
      <w:tr w:rsidR="00091009" w:rsidRPr="009A3881" w:rsidTr="00091009">
        <w:trPr>
          <w:trHeight w:val="260"/>
        </w:trPr>
        <w:tc>
          <w:tcPr>
            <w:tcW w:w="6930" w:type="dxa"/>
            <w:vAlign w:val="center"/>
          </w:tcPr>
          <w:p w:rsidR="00091009" w:rsidRPr="009A3881" w:rsidRDefault="00091009" w:rsidP="00091009">
            <w:pPr>
              <w:jc w:val="center"/>
              <w:rPr>
                <w:rFonts w:ascii="Arial" w:hAnsi="Arial" w:cs="Arial"/>
                <w:b/>
                <w:sz w:val="20"/>
                <w:szCs w:val="20"/>
              </w:rPr>
            </w:pPr>
            <w:r w:rsidRPr="009A3881">
              <w:rPr>
                <w:rFonts w:ascii="Arial" w:hAnsi="Arial" w:cs="Arial"/>
                <w:b/>
                <w:sz w:val="20"/>
                <w:szCs w:val="20"/>
              </w:rPr>
              <w:lastRenderedPageBreak/>
              <w:br w:type="page"/>
              <w:t>AACSB STRATEGIC MGMT. AND STANDARDS</w:t>
            </w:r>
          </w:p>
        </w:tc>
        <w:tc>
          <w:tcPr>
            <w:tcW w:w="7578" w:type="dxa"/>
            <w:vAlign w:val="center"/>
          </w:tcPr>
          <w:p w:rsidR="00091009" w:rsidRPr="009A3881" w:rsidRDefault="00091009" w:rsidP="00091009">
            <w:pPr>
              <w:pStyle w:val="Heading1"/>
              <w:jc w:val="center"/>
              <w:rPr>
                <w:rFonts w:ascii="Arial" w:hAnsi="Arial" w:cs="Arial"/>
                <w:bCs w:val="0"/>
                <w:sz w:val="20"/>
                <w:szCs w:val="20"/>
              </w:rPr>
            </w:pPr>
            <w:r w:rsidRPr="009A3881">
              <w:rPr>
                <w:rFonts w:ascii="Arial" w:hAnsi="Arial" w:cs="Arial"/>
                <w:bCs w:val="0"/>
                <w:sz w:val="20"/>
                <w:szCs w:val="20"/>
              </w:rPr>
              <w:t>QUESTIONS/COMMENTS</w:t>
            </w:r>
          </w:p>
        </w:tc>
      </w:tr>
      <w:tr w:rsidR="001A1081" w:rsidRPr="009A3881" w:rsidTr="009A3881">
        <w:trPr>
          <w:trHeight w:val="1440"/>
        </w:trPr>
        <w:tc>
          <w:tcPr>
            <w:tcW w:w="6930" w:type="dxa"/>
          </w:tcPr>
          <w:p w:rsidR="001A1081" w:rsidRPr="009A3881" w:rsidRDefault="001A1081" w:rsidP="00BA34F3">
            <w:pPr>
              <w:spacing w:after="120"/>
              <w:rPr>
                <w:rFonts w:ascii="Arial" w:hAnsi="Arial" w:cs="Arial"/>
                <w:sz w:val="20"/>
                <w:szCs w:val="20"/>
              </w:rPr>
            </w:pPr>
            <w:r w:rsidRPr="009A3881">
              <w:rPr>
                <w:rFonts w:ascii="Arial" w:hAnsi="Arial" w:cs="Arial"/>
                <w:sz w:val="20"/>
                <w:szCs w:val="20"/>
              </w:rPr>
              <w:t xml:space="preserve">1.  </w:t>
            </w:r>
            <w:r w:rsidR="00A2344C" w:rsidRPr="009A3881">
              <w:rPr>
                <w:rFonts w:ascii="Arial" w:hAnsi="Arial" w:cs="Arial"/>
                <w:sz w:val="20"/>
                <w:szCs w:val="20"/>
                <w:u w:val="single"/>
              </w:rPr>
              <w:t>Mission, Impact, and Innovation</w:t>
            </w:r>
          </w:p>
          <w:p w:rsidR="001A1081" w:rsidRPr="009A3881" w:rsidRDefault="00C8503C" w:rsidP="001A1081">
            <w:pPr>
              <w:rPr>
                <w:rFonts w:ascii="Arial" w:hAnsi="Arial" w:cs="Arial"/>
                <w:sz w:val="20"/>
                <w:szCs w:val="20"/>
              </w:rPr>
            </w:pPr>
            <w:r w:rsidRPr="009A3881">
              <w:rPr>
                <w:rFonts w:ascii="Arial" w:hAnsi="Arial" w:cs="Arial"/>
                <w:sz w:val="20"/>
                <w:szCs w:val="20"/>
              </w:rPr>
              <w:t>The school articulates a clear and distinctive mission, the expected outcomes this mission implies, and strategies outlining how these outcomes will be achieved. The school has a history of achievement and improvement and specifies future actions for continuous improvement and innovation consistent with this mission, expected outcomes, and strategies.</w:t>
            </w:r>
          </w:p>
        </w:tc>
        <w:tc>
          <w:tcPr>
            <w:tcW w:w="7578" w:type="dxa"/>
          </w:tcPr>
          <w:p w:rsidR="001A1081" w:rsidRPr="009A3881" w:rsidRDefault="001A1081" w:rsidP="001A1081">
            <w:pPr>
              <w:rPr>
                <w:rFonts w:ascii="Arial" w:hAnsi="Arial" w:cs="Arial"/>
                <w:b/>
                <w:sz w:val="20"/>
                <w:szCs w:val="20"/>
              </w:rPr>
            </w:pPr>
          </w:p>
        </w:tc>
      </w:tr>
      <w:tr w:rsidR="001A1081" w:rsidRPr="009A3881" w:rsidTr="009A3881">
        <w:trPr>
          <w:trHeight w:val="1187"/>
        </w:trPr>
        <w:tc>
          <w:tcPr>
            <w:tcW w:w="6930" w:type="dxa"/>
          </w:tcPr>
          <w:p w:rsidR="001A1081" w:rsidRPr="009A3881" w:rsidRDefault="001A1081" w:rsidP="00BA34F3">
            <w:pPr>
              <w:autoSpaceDE w:val="0"/>
              <w:autoSpaceDN w:val="0"/>
              <w:adjustRightInd w:val="0"/>
              <w:spacing w:after="120"/>
              <w:rPr>
                <w:rFonts w:ascii="Arial" w:hAnsi="Arial" w:cs="Arial"/>
                <w:sz w:val="20"/>
                <w:szCs w:val="20"/>
              </w:rPr>
            </w:pPr>
            <w:r w:rsidRPr="009A3881">
              <w:rPr>
                <w:rFonts w:ascii="Arial" w:hAnsi="Arial" w:cs="Arial"/>
                <w:sz w:val="20"/>
                <w:szCs w:val="20"/>
              </w:rPr>
              <w:t xml:space="preserve">2.  </w:t>
            </w:r>
            <w:r w:rsidR="00A2344C" w:rsidRPr="009A3881">
              <w:rPr>
                <w:rFonts w:ascii="Arial" w:hAnsi="Arial" w:cs="Arial"/>
                <w:sz w:val="20"/>
                <w:szCs w:val="20"/>
                <w:u w:val="single"/>
              </w:rPr>
              <w:t>Intellectual Contributions, Impact, and Alignment with Mission</w:t>
            </w:r>
          </w:p>
          <w:p w:rsidR="001A1081" w:rsidRPr="009A3881" w:rsidRDefault="00C8503C" w:rsidP="001A1081">
            <w:pPr>
              <w:rPr>
                <w:rFonts w:ascii="Arial" w:hAnsi="Arial" w:cs="Arial"/>
                <w:sz w:val="20"/>
                <w:szCs w:val="20"/>
              </w:rPr>
            </w:pPr>
            <w:r w:rsidRPr="009A3881">
              <w:rPr>
                <w:rFonts w:ascii="Arial" w:hAnsi="Arial" w:cs="Arial"/>
                <w:sz w:val="20"/>
                <w:szCs w:val="20"/>
              </w:rPr>
              <w:t>The school produces high-quality intellectual contributions that are consistent with its mission, expected outcomes, and strategies and that impact the theory, practice, and teaching of business and management.</w:t>
            </w:r>
          </w:p>
        </w:tc>
        <w:tc>
          <w:tcPr>
            <w:tcW w:w="7578" w:type="dxa"/>
          </w:tcPr>
          <w:p w:rsidR="001A1081" w:rsidRPr="009A3881" w:rsidRDefault="001A1081" w:rsidP="001A1081">
            <w:pPr>
              <w:rPr>
                <w:rFonts w:ascii="Arial" w:hAnsi="Arial" w:cs="Arial"/>
                <w:b/>
                <w:sz w:val="20"/>
                <w:szCs w:val="20"/>
              </w:rPr>
            </w:pPr>
          </w:p>
          <w:p w:rsidR="00BA34F3" w:rsidRPr="009A3881" w:rsidRDefault="00BA34F3" w:rsidP="001A1081">
            <w:pPr>
              <w:rPr>
                <w:rFonts w:ascii="Arial" w:hAnsi="Arial" w:cs="Arial"/>
                <w:b/>
                <w:sz w:val="20"/>
                <w:szCs w:val="20"/>
              </w:rPr>
            </w:pPr>
          </w:p>
          <w:p w:rsidR="00BA34F3" w:rsidRPr="009A3881" w:rsidRDefault="00BA34F3" w:rsidP="001A1081">
            <w:pPr>
              <w:rPr>
                <w:rFonts w:ascii="Arial" w:hAnsi="Arial" w:cs="Arial"/>
                <w:b/>
                <w:sz w:val="20"/>
                <w:szCs w:val="20"/>
              </w:rPr>
            </w:pPr>
          </w:p>
          <w:p w:rsidR="00BA34F3" w:rsidRPr="009A3881" w:rsidRDefault="00BA34F3" w:rsidP="001A1081">
            <w:pPr>
              <w:rPr>
                <w:rFonts w:ascii="Arial" w:hAnsi="Arial" w:cs="Arial"/>
                <w:b/>
                <w:sz w:val="20"/>
                <w:szCs w:val="20"/>
              </w:rPr>
            </w:pPr>
          </w:p>
          <w:p w:rsidR="00BA34F3" w:rsidRPr="009A3881" w:rsidRDefault="00BA34F3" w:rsidP="001A1081">
            <w:pPr>
              <w:rPr>
                <w:rFonts w:ascii="Arial" w:hAnsi="Arial" w:cs="Arial"/>
                <w:b/>
                <w:sz w:val="20"/>
                <w:szCs w:val="20"/>
              </w:rPr>
            </w:pPr>
          </w:p>
        </w:tc>
      </w:tr>
      <w:tr w:rsidR="001A1081" w:rsidRPr="009A3881" w:rsidTr="009A3881">
        <w:trPr>
          <w:trHeight w:val="1151"/>
        </w:trPr>
        <w:tc>
          <w:tcPr>
            <w:tcW w:w="6930" w:type="dxa"/>
          </w:tcPr>
          <w:p w:rsidR="001A1081" w:rsidRPr="009A3881" w:rsidRDefault="001A1081" w:rsidP="00BA34F3">
            <w:pPr>
              <w:spacing w:after="120"/>
              <w:rPr>
                <w:rFonts w:ascii="Arial" w:hAnsi="Arial" w:cs="Arial"/>
                <w:sz w:val="20"/>
                <w:szCs w:val="20"/>
              </w:rPr>
            </w:pPr>
            <w:r w:rsidRPr="009A3881">
              <w:rPr>
                <w:rFonts w:ascii="Arial" w:hAnsi="Arial" w:cs="Arial"/>
                <w:sz w:val="20"/>
                <w:szCs w:val="20"/>
              </w:rPr>
              <w:t xml:space="preserve">3.  </w:t>
            </w:r>
            <w:r w:rsidR="00C8503C" w:rsidRPr="009A3881">
              <w:rPr>
                <w:rFonts w:ascii="Arial" w:hAnsi="Arial" w:cs="Arial"/>
                <w:sz w:val="20"/>
                <w:szCs w:val="20"/>
                <w:u w:val="single"/>
              </w:rPr>
              <w:t>F</w:t>
            </w:r>
            <w:r w:rsidR="00A2344C" w:rsidRPr="009A3881">
              <w:rPr>
                <w:rFonts w:ascii="Arial" w:hAnsi="Arial" w:cs="Arial"/>
                <w:sz w:val="20"/>
                <w:szCs w:val="20"/>
                <w:u w:val="single"/>
              </w:rPr>
              <w:t>inancial Strategies and Allocation Of Resources</w:t>
            </w:r>
          </w:p>
          <w:p w:rsidR="001A1081" w:rsidRPr="009A3881" w:rsidRDefault="00C8503C" w:rsidP="001A1081">
            <w:pPr>
              <w:rPr>
                <w:rFonts w:ascii="Arial" w:hAnsi="Arial" w:cs="Arial"/>
                <w:sz w:val="20"/>
                <w:szCs w:val="20"/>
              </w:rPr>
            </w:pPr>
            <w:r w:rsidRPr="009A3881">
              <w:rPr>
                <w:rFonts w:ascii="Arial" w:hAnsi="Arial" w:cs="Arial"/>
                <w:sz w:val="20"/>
                <w:szCs w:val="20"/>
              </w:rPr>
              <w:t>The school has financial strategies to provide resources appropriate to, and sufficient for, achieving its mission and action items.</w:t>
            </w:r>
          </w:p>
        </w:tc>
        <w:tc>
          <w:tcPr>
            <w:tcW w:w="7578" w:type="dxa"/>
          </w:tcPr>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tc>
      </w:tr>
      <w:tr w:rsidR="00C8503C" w:rsidRPr="009A3881" w:rsidTr="00091009">
        <w:tc>
          <w:tcPr>
            <w:tcW w:w="6930" w:type="dxa"/>
            <w:vAlign w:val="center"/>
          </w:tcPr>
          <w:p w:rsidR="00C8503C" w:rsidRPr="009A3881" w:rsidRDefault="00C8503C" w:rsidP="00BA34F3">
            <w:pPr>
              <w:jc w:val="center"/>
              <w:rPr>
                <w:rFonts w:ascii="Arial" w:hAnsi="Arial" w:cs="Arial"/>
                <w:b/>
                <w:sz w:val="20"/>
                <w:szCs w:val="20"/>
              </w:rPr>
            </w:pPr>
            <w:r w:rsidRPr="009A3881">
              <w:rPr>
                <w:rFonts w:ascii="Arial" w:hAnsi="Arial" w:cs="Arial"/>
                <w:b/>
                <w:sz w:val="20"/>
                <w:szCs w:val="20"/>
              </w:rPr>
              <w:t>AACSB PARTICIPANTS – STUDENTS, FACULTY, AND PROFESSIONAL STAFF STANDARDS</w:t>
            </w:r>
          </w:p>
        </w:tc>
        <w:tc>
          <w:tcPr>
            <w:tcW w:w="7578" w:type="dxa"/>
            <w:vAlign w:val="center"/>
          </w:tcPr>
          <w:p w:rsidR="00C8503C" w:rsidRPr="009A3881" w:rsidRDefault="00C8503C" w:rsidP="00BA34F3">
            <w:pPr>
              <w:pStyle w:val="Heading1"/>
              <w:jc w:val="center"/>
              <w:rPr>
                <w:rFonts w:ascii="Arial" w:hAnsi="Arial" w:cs="Arial"/>
                <w:bCs w:val="0"/>
                <w:sz w:val="20"/>
                <w:szCs w:val="20"/>
              </w:rPr>
            </w:pPr>
            <w:r w:rsidRPr="009A3881">
              <w:rPr>
                <w:rFonts w:ascii="Arial" w:hAnsi="Arial" w:cs="Arial"/>
                <w:bCs w:val="0"/>
                <w:sz w:val="20"/>
                <w:szCs w:val="20"/>
              </w:rPr>
              <w:t>QUESTIONS/COMMENTS</w:t>
            </w:r>
          </w:p>
        </w:tc>
      </w:tr>
      <w:tr w:rsidR="001A1081" w:rsidRPr="009A3881" w:rsidTr="009A3881">
        <w:trPr>
          <w:trHeight w:val="1322"/>
        </w:trPr>
        <w:tc>
          <w:tcPr>
            <w:tcW w:w="6930" w:type="dxa"/>
          </w:tcPr>
          <w:p w:rsidR="001A1081" w:rsidRPr="009A3881" w:rsidRDefault="001A1081" w:rsidP="00BA34F3">
            <w:pPr>
              <w:spacing w:after="120"/>
              <w:rPr>
                <w:rFonts w:ascii="Arial" w:hAnsi="Arial" w:cs="Arial"/>
                <w:sz w:val="20"/>
                <w:szCs w:val="20"/>
              </w:rPr>
            </w:pPr>
            <w:r w:rsidRPr="009A3881">
              <w:rPr>
                <w:rFonts w:ascii="Arial" w:hAnsi="Arial" w:cs="Arial"/>
                <w:sz w:val="20"/>
                <w:szCs w:val="20"/>
              </w:rPr>
              <w:t xml:space="preserve">4.  </w:t>
            </w:r>
            <w:r w:rsidR="00A2344C" w:rsidRPr="009A3881">
              <w:rPr>
                <w:rFonts w:ascii="Arial" w:hAnsi="Arial" w:cs="Arial"/>
                <w:sz w:val="20"/>
                <w:szCs w:val="20"/>
                <w:u w:val="single"/>
              </w:rPr>
              <w:t>Student Admissions, Progression, and Career Development</w:t>
            </w:r>
          </w:p>
          <w:p w:rsidR="001A1081" w:rsidRPr="009A3881" w:rsidRDefault="00C8503C" w:rsidP="001A1081">
            <w:pPr>
              <w:rPr>
                <w:rFonts w:ascii="Arial" w:hAnsi="Arial" w:cs="Arial"/>
                <w:sz w:val="20"/>
                <w:szCs w:val="20"/>
              </w:rPr>
            </w:pPr>
            <w:r w:rsidRPr="009A3881">
              <w:rPr>
                <w:rFonts w:ascii="Arial" w:hAnsi="Arial" w:cs="Arial"/>
                <w:sz w:val="20"/>
                <w:szCs w:val="20"/>
              </w:rPr>
              <w:t>Policies and procedures for student admissions, as well as those that ensure academic progression toward degree completion, and supporting career development are clear, effective, consistently applied, and aligned with the school's mission, expected outcomes, and strategies.</w:t>
            </w:r>
          </w:p>
        </w:tc>
        <w:tc>
          <w:tcPr>
            <w:tcW w:w="7578" w:type="dxa"/>
          </w:tcPr>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tc>
      </w:tr>
      <w:tr w:rsidR="001A1081" w:rsidRPr="009A3881" w:rsidTr="009A3881">
        <w:trPr>
          <w:trHeight w:val="1440"/>
        </w:trPr>
        <w:tc>
          <w:tcPr>
            <w:tcW w:w="6930" w:type="dxa"/>
          </w:tcPr>
          <w:p w:rsidR="001A1081" w:rsidRPr="009A3881" w:rsidRDefault="001A1081" w:rsidP="00BA34F3">
            <w:pPr>
              <w:spacing w:after="120"/>
              <w:rPr>
                <w:rFonts w:ascii="Arial" w:hAnsi="Arial" w:cs="Arial"/>
                <w:sz w:val="20"/>
                <w:szCs w:val="20"/>
              </w:rPr>
            </w:pPr>
            <w:r w:rsidRPr="009A3881">
              <w:rPr>
                <w:rFonts w:ascii="Arial" w:hAnsi="Arial" w:cs="Arial"/>
                <w:sz w:val="20"/>
                <w:szCs w:val="20"/>
              </w:rPr>
              <w:t xml:space="preserve">5.  </w:t>
            </w:r>
            <w:r w:rsidR="00A2344C" w:rsidRPr="009A3881">
              <w:rPr>
                <w:rFonts w:ascii="Arial" w:hAnsi="Arial" w:cs="Arial"/>
                <w:sz w:val="20"/>
                <w:szCs w:val="20"/>
                <w:u w:val="single"/>
              </w:rPr>
              <w:t>Faculty Sufficiency and Deployment</w:t>
            </w:r>
          </w:p>
          <w:p w:rsidR="001A1081" w:rsidRPr="009A3881" w:rsidRDefault="00C8503C" w:rsidP="001A1081">
            <w:pPr>
              <w:rPr>
                <w:rFonts w:ascii="Arial" w:hAnsi="Arial" w:cs="Arial"/>
                <w:sz w:val="20"/>
                <w:szCs w:val="20"/>
              </w:rPr>
            </w:pPr>
            <w:r w:rsidRPr="009A3881">
              <w:rPr>
                <w:rFonts w:ascii="Arial" w:hAnsi="Arial" w:cs="Arial"/>
                <w:sz w:val="20"/>
                <w:szCs w:val="20"/>
              </w:rPr>
              <w:t>The school maintains and deploys a faculty sufficient to ensure quality outcomes across the range of degree programs it offers and to achieve other components of its mission. Students in all programs, disciplines, locations, and delivery modes have the opportunity to receive instruction from appropriately qualified faculty.</w:t>
            </w:r>
          </w:p>
        </w:tc>
        <w:tc>
          <w:tcPr>
            <w:tcW w:w="7578" w:type="dxa"/>
          </w:tcPr>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tc>
      </w:tr>
      <w:tr w:rsidR="001A1081" w:rsidRPr="009A3881" w:rsidTr="009A3881">
        <w:trPr>
          <w:trHeight w:val="1358"/>
        </w:trPr>
        <w:tc>
          <w:tcPr>
            <w:tcW w:w="6930" w:type="dxa"/>
          </w:tcPr>
          <w:p w:rsidR="001A1081" w:rsidRPr="009A3881" w:rsidRDefault="001A1081" w:rsidP="00BA34F3">
            <w:pPr>
              <w:spacing w:after="120"/>
              <w:rPr>
                <w:rFonts w:ascii="Arial" w:hAnsi="Arial" w:cs="Arial"/>
                <w:sz w:val="20"/>
                <w:szCs w:val="20"/>
              </w:rPr>
            </w:pPr>
            <w:r w:rsidRPr="009A3881">
              <w:rPr>
                <w:rFonts w:ascii="Arial" w:hAnsi="Arial" w:cs="Arial"/>
                <w:sz w:val="20"/>
                <w:szCs w:val="20"/>
              </w:rPr>
              <w:t xml:space="preserve">6.  </w:t>
            </w:r>
            <w:r w:rsidR="00A2344C" w:rsidRPr="009A3881">
              <w:rPr>
                <w:rFonts w:ascii="Arial" w:hAnsi="Arial" w:cs="Arial"/>
                <w:sz w:val="20"/>
                <w:szCs w:val="20"/>
                <w:u w:val="single"/>
              </w:rPr>
              <w:t>Faculty Management and Support</w:t>
            </w:r>
          </w:p>
          <w:p w:rsidR="001A1081" w:rsidRPr="009A3881" w:rsidRDefault="00C8503C" w:rsidP="001A1081">
            <w:pPr>
              <w:rPr>
                <w:rFonts w:ascii="Arial" w:hAnsi="Arial" w:cs="Arial"/>
                <w:sz w:val="20"/>
                <w:szCs w:val="20"/>
              </w:rPr>
            </w:pPr>
            <w:r w:rsidRPr="009A3881">
              <w:rPr>
                <w:rFonts w:ascii="Arial" w:hAnsi="Arial" w:cs="Arial"/>
                <w:sz w:val="20"/>
                <w:szCs w:val="20"/>
              </w:rPr>
              <w:t>The school has well-documented and well-communicated processes to manage and support faculty members over the progression of their careers that are consistent with the school’s mission, expected outcomes, and strategies.</w:t>
            </w:r>
          </w:p>
        </w:tc>
        <w:tc>
          <w:tcPr>
            <w:tcW w:w="7578" w:type="dxa"/>
          </w:tcPr>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tc>
      </w:tr>
      <w:tr w:rsidR="001A1081" w:rsidRPr="009A3881" w:rsidTr="009A3881">
        <w:trPr>
          <w:trHeight w:val="1259"/>
        </w:trPr>
        <w:tc>
          <w:tcPr>
            <w:tcW w:w="6930" w:type="dxa"/>
          </w:tcPr>
          <w:p w:rsidR="001A1081" w:rsidRPr="009A3881" w:rsidRDefault="001A1081" w:rsidP="00BA34F3">
            <w:pPr>
              <w:spacing w:after="120"/>
              <w:rPr>
                <w:rFonts w:ascii="Arial" w:hAnsi="Arial" w:cs="Arial"/>
                <w:sz w:val="20"/>
                <w:szCs w:val="20"/>
                <w:u w:val="single"/>
              </w:rPr>
            </w:pPr>
            <w:r w:rsidRPr="009A3881">
              <w:rPr>
                <w:rFonts w:ascii="Arial" w:hAnsi="Arial" w:cs="Arial"/>
                <w:sz w:val="20"/>
                <w:szCs w:val="20"/>
              </w:rPr>
              <w:t xml:space="preserve">7.  </w:t>
            </w:r>
            <w:r w:rsidR="00A2344C" w:rsidRPr="009A3881">
              <w:rPr>
                <w:rFonts w:ascii="Arial" w:hAnsi="Arial" w:cs="Arial"/>
                <w:sz w:val="20"/>
                <w:szCs w:val="20"/>
                <w:u w:val="single"/>
              </w:rPr>
              <w:t>Professional Staff Sufficiency and Deployment</w:t>
            </w:r>
          </w:p>
          <w:p w:rsidR="001A1081" w:rsidRPr="009A3881" w:rsidRDefault="00C8503C" w:rsidP="001A1081">
            <w:pPr>
              <w:rPr>
                <w:rFonts w:ascii="Arial" w:hAnsi="Arial" w:cs="Arial"/>
                <w:sz w:val="20"/>
                <w:szCs w:val="20"/>
              </w:rPr>
            </w:pPr>
            <w:r w:rsidRPr="009A3881">
              <w:rPr>
                <w:rFonts w:ascii="Arial" w:hAnsi="Arial" w:cs="Arial"/>
                <w:sz w:val="20"/>
                <w:szCs w:val="20"/>
              </w:rPr>
              <w:t>The school maintains and deploys professional staff and/or services sufficient to ensure quality outcomes across the range of degree programs it offers and to achieve other components of its mission</w:t>
            </w:r>
          </w:p>
        </w:tc>
        <w:tc>
          <w:tcPr>
            <w:tcW w:w="7578" w:type="dxa"/>
          </w:tcPr>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tc>
      </w:tr>
      <w:tr w:rsidR="00C8503C" w:rsidRPr="009A3881" w:rsidTr="009A3881">
        <w:tblPrEx>
          <w:tblLook w:val="01E0" w:firstRow="1" w:lastRow="1" w:firstColumn="1" w:lastColumn="1" w:noHBand="0" w:noVBand="0"/>
        </w:tblPrEx>
        <w:trPr>
          <w:trHeight w:val="440"/>
        </w:trPr>
        <w:tc>
          <w:tcPr>
            <w:tcW w:w="6930" w:type="dxa"/>
            <w:vAlign w:val="center"/>
          </w:tcPr>
          <w:p w:rsidR="00C8503C" w:rsidRPr="009A3881" w:rsidRDefault="00C8503C" w:rsidP="00BA34F3">
            <w:pPr>
              <w:pStyle w:val="Heading1"/>
              <w:jc w:val="center"/>
              <w:rPr>
                <w:rFonts w:ascii="Arial" w:hAnsi="Arial" w:cs="Arial"/>
                <w:sz w:val="20"/>
                <w:szCs w:val="20"/>
              </w:rPr>
            </w:pPr>
            <w:r w:rsidRPr="009A3881">
              <w:rPr>
                <w:rFonts w:ascii="Arial" w:hAnsi="Arial" w:cs="Arial"/>
                <w:sz w:val="20"/>
                <w:szCs w:val="20"/>
              </w:rPr>
              <w:lastRenderedPageBreak/>
              <w:t>AACSB</w:t>
            </w:r>
            <w:r w:rsidR="00BA34F3" w:rsidRPr="009A3881">
              <w:rPr>
                <w:rFonts w:ascii="Arial" w:hAnsi="Arial" w:cs="Arial"/>
                <w:sz w:val="20"/>
                <w:szCs w:val="20"/>
              </w:rPr>
              <w:t xml:space="preserve"> LEARNING AND TEACHING</w:t>
            </w:r>
            <w:r w:rsidRPr="009A3881">
              <w:rPr>
                <w:rFonts w:ascii="Arial" w:hAnsi="Arial" w:cs="Arial"/>
                <w:sz w:val="20"/>
                <w:szCs w:val="20"/>
              </w:rPr>
              <w:t xml:space="preserve"> STANDARDS</w:t>
            </w:r>
          </w:p>
        </w:tc>
        <w:tc>
          <w:tcPr>
            <w:tcW w:w="7578" w:type="dxa"/>
            <w:vAlign w:val="center"/>
          </w:tcPr>
          <w:p w:rsidR="00C8503C" w:rsidRPr="009A3881" w:rsidRDefault="00C8503C" w:rsidP="00BA34F3">
            <w:pPr>
              <w:jc w:val="center"/>
              <w:rPr>
                <w:rFonts w:ascii="Arial" w:hAnsi="Arial" w:cs="Arial"/>
                <w:b/>
                <w:sz w:val="20"/>
                <w:szCs w:val="20"/>
              </w:rPr>
            </w:pPr>
            <w:r w:rsidRPr="009A3881">
              <w:rPr>
                <w:rFonts w:ascii="Arial" w:hAnsi="Arial" w:cs="Arial"/>
                <w:b/>
                <w:sz w:val="20"/>
                <w:szCs w:val="20"/>
              </w:rPr>
              <w:t>QUESTIONS/COMMENTS</w:t>
            </w:r>
          </w:p>
        </w:tc>
      </w:tr>
      <w:tr w:rsidR="001A1081" w:rsidRPr="009A3881" w:rsidTr="009A3881">
        <w:trPr>
          <w:trHeight w:val="1440"/>
        </w:trPr>
        <w:tc>
          <w:tcPr>
            <w:tcW w:w="6930" w:type="dxa"/>
          </w:tcPr>
          <w:p w:rsidR="001A1081" w:rsidRPr="009A3881" w:rsidRDefault="001A1081" w:rsidP="00BA34F3">
            <w:pPr>
              <w:spacing w:after="120"/>
              <w:rPr>
                <w:rFonts w:ascii="Arial" w:hAnsi="Arial" w:cs="Arial"/>
                <w:sz w:val="20"/>
                <w:szCs w:val="20"/>
              </w:rPr>
            </w:pPr>
            <w:r w:rsidRPr="009A3881">
              <w:rPr>
                <w:rFonts w:ascii="Arial" w:hAnsi="Arial" w:cs="Arial"/>
                <w:sz w:val="20"/>
                <w:szCs w:val="20"/>
              </w:rPr>
              <w:t xml:space="preserve">8.  </w:t>
            </w:r>
            <w:r w:rsidR="00A2344C" w:rsidRPr="009A3881">
              <w:rPr>
                <w:rFonts w:ascii="Arial" w:hAnsi="Arial" w:cs="Arial"/>
                <w:sz w:val="20"/>
                <w:szCs w:val="20"/>
                <w:u w:val="single"/>
              </w:rPr>
              <w:t>Curricula Management and Assurance Of Learning</w:t>
            </w:r>
          </w:p>
          <w:p w:rsidR="001A1081" w:rsidRPr="009A3881" w:rsidRDefault="00BA34F3" w:rsidP="001A1081">
            <w:pPr>
              <w:rPr>
                <w:rFonts w:ascii="Arial" w:hAnsi="Arial" w:cs="Arial"/>
                <w:sz w:val="20"/>
                <w:szCs w:val="20"/>
              </w:rPr>
            </w:pPr>
            <w:r w:rsidRPr="009A3881">
              <w:rPr>
                <w:rFonts w:ascii="Arial" w:hAnsi="Arial" w:cs="Arial"/>
                <w:sz w:val="20"/>
                <w:szCs w:val="20"/>
              </w:rPr>
              <w:t>The school uses well-documented, systematic processes for determining and revising degree program learning goals; designing, delivering, and improving degree program curricula to achieve learning goals; and demonstrating that degree program learning goals have been met.</w:t>
            </w:r>
          </w:p>
        </w:tc>
        <w:tc>
          <w:tcPr>
            <w:tcW w:w="7578" w:type="dxa"/>
          </w:tcPr>
          <w:p w:rsidR="001A1081" w:rsidRPr="009A3881" w:rsidRDefault="001A1081" w:rsidP="001A1081">
            <w:pPr>
              <w:rPr>
                <w:rFonts w:ascii="Arial" w:hAnsi="Arial" w:cs="Arial"/>
                <w:b/>
                <w:sz w:val="20"/>
                <w:szCs w:val="20"/>
              </w:rPr>
            </w:pPr>
          </w:p>
          <w:p w:rsidR="007775BE" w:rsidRPr="009A3881" w:rsidRDefault="007775BE" w:rsidP="001A1081">
            <w:pPr>
              <w:rPr>
                <w:rFonts w:ascii="Arial" w:hAnsi="Arial" w:cs="Arial"/>
                <w:b/>
                <w:sz w:val="20"/>
                <w:szCs w:val="20"/>
              </w:rPr>
            </w:pPr>
          </w:p>
          <w:p w:rsidR="007775BE" w:rsidRPr="009A3881" w:rsidRDefault="007775BE" w:rsidP="001A1081">
            <w:pPr>
              <w:rPr>
                <w:rFonts w:ascii="Arial" w:hAnsi="Arial" w:cs="Arial"/>
                <w:b/>
                <w:sz w:val="20"/>
                <w:szCs w:val="20"/>
              </w:rPr>
            </w:pPr>
          </w:p>
          <w:p w:rsidR="007775BE" w:rsidRPr="009A3881" w:rsidRDefault="007775BE" w:rsidP="001A1081">
            <w:pPr>
              <w:rPr>
                <w:rFonts w:ascii="Arial" w:hAnsi="Arial" w:cs="Arial"/>
                <w:b/>
                <w:sz w:val="20"/>
                <w:szCs w:val="20"/>
              </w:rPr>
            </w:pPr>
          </w:p>
          <w:p w:rsidR="007775BE" w:rsidRPr="009A3881" w:rsidRDefault="007775BE" w:rsidP="001A1081">
            <w:pPr>
              <w:rPr>
                <w:rFonts w:ascii="Arial" w:hAnsi="Arial" w:cs="Arial"/>
                <w:b/>
                <w:sz w:val="20"/>
                <w:szCs w:val="20"/>
              </w:rPr>
            </w:pPr>
          </w:p>
          <w:p w:rsidR="007775BE" w:rsidRPr="009A3881" w:rsidRDefault="007775BE" w:rsidP="001A1081">
            <w:pPr>
              <w:rPr>
                <w:rFonts w:ascii="Arial" w:hAnsi="Arial" w:cs="Arial"/>
                <w:b/>
                <w:sz w:val="20"/>
                <w:szCs w:val="20"/>
              </w:rPr>
            </w:pPr>
          </w:p>
        </w:tc>
      </w:tr>
      <w:tr w:rsidR="001A1081" w:rsidRPr="009A3881" w:rsidTr="009A3881">
        <w:trPr>
          <w:trHeight w:val="1440"/>
        </w:trPr>
        <w:tc>
          <w:tcPr>
            <w:tcW w:w="6930" w:type="dxa"/>
          </w:tcPr>
          <w:p w:rsidR="001A1081" w:rsidRPr="009A3881" w:rsidRDefault="001A1081" w:rsidP="00BA34F3">
            <w:pPr>
              <w:autoSpaceDE w:val="0"/>
              <w:autoSpaceDN w:val="0"/>
              <w:adjustRightInd w:val="0"/>
              <w:spacing w:after="120"/>
              <w:rPr>
                <w:rFonts w:ascii="Arial" w:hAnsi="Arial" w:cs="Arial"/>
                <w:bCs/>
                <w:sz w:val="20"/>
                <w:szCs w:val="20"/>
              </w:rPr>
            </w:pPr>
            <w:r w:rsidRPr="009A3881">
              <w:rPr>
                <w:rFonts w:ascii="Arial" w:hAnsi="Arial" w:cs="Arial"/>
                <w:sz w:val="20"/>
                <w:szCs w:val="20"/>
              </w:rPr>
              <w:t xml:space="preserve">9.  </w:t>
            </w:r>
            <w:r w:rsidR="00A2344C" w:rsidRPr="009A3881">
              <w:rPr>
                <w:rFonts w:ascii="Arial" w:hAnsi="Arial" w:cs="Arial"/>
                <w:sz w:val="20"/>
                <w:szCs w:val="20"/>
                <w:u w:val="single"/>
              </w:rPr>
              <w:t>Curriculum Content</w:t>
            </w:r>
          </w:p>
          <w:p w:rsidR="001A1081" w:rsidRPr="009A3881" w:rsidRDefault="00BA34F3" w:rsidP="001A1081">
            <w:pPr>
              <w:autoSpaceDE w:val="0"/>
              <w:autoSpaceDN w:val="0"/>
              <w:adjustRightInd w:val="0"/>
              <w:rPr>
                <w:rFonts w:ascii="Arial" w:hAnsi="Arial" w:cs="Arial"/>
                <w:sz w:val="20"/>
                <w:szCs w:val="20"/>
              </w:rPr>
            </w:pPr>
            <w:r w:rsidRPr="009A3881">
              <w:rPr>
                <w:rFonts w:ascii="Arial" w:hAnsi="Arial" w:cs="Arial"/>
                <w:sz w:val="20"/>
                <w:szCs w:val="20"/>
              </w:rPr>
              <w:t>Curriculum content is appropriate to general expectations for the degree program type and learning goals.</w:t>
            </w:r>
          </w:p>
        </w:tc>
        <w:tc>
          <w:tcPr>
            <w:tcW w:w="7578" w:type="dxa"/>
          </w:tcPr>
          <w:p w:rsidR="001A1081" w:rsidRPr="009A3881" w:rsidRDefault="001A1081" w:rsidP="001A1081">
            <w:pPr>
              <w:rPr>
                <w:rFonts w:ascii="Arial" w:hAnsi="Arial" w:cs="Arial"/>
                <w:b/>
                <w:sz w:val="20"/>
                <w:szCs w:val="20"/>
              </w:rPr>
            </w:pPr>
          </w:p>
          <w:p w:rsidR="00BA34F3" w:rsidRPr="009A3881" w:rsidRDefault="00BA34F3" w:rsidP="001A1081">
            <w:pPr>
              <w:rPr>
                <w:rFonts w:ascii="Arial" w:hAnsi="Arial" w:cs="Arial"/>
                <w:b/>
                <w:sz w:val="20"/>
                <w:szCs w:val="20"/>
              </w:rPr>
            </w:pPr>
          </w:p>
          <w:p w:rsidR="00BA34F3" w:rsidRPr="009A3881" w:rsidRDefault="00BA34F3" w:rsidP="001A1081">
            <w:pPr>
              <w:rPr>
                <w:rFonts w:ascii="Arial" w:hAnsi="Arial" w:cs="Arial"/>
                <w:b/>
                <w:sz w:val="20"/>
                <w:szCs w:val="20"/>
              </w:rPr>
            </w:pPr>
          </w:p>
          <w:p w:rsidR="00BA34F3" w:rsidRPr="009A3881" w:rsidRDefault="00BA34F3" w:rsidP="001A1081">
            <w:pPr>
              <w:rPr>
                <w:rFonts w:ascii="Arial" w:hAnsi="Arial" w:cs="Arial"/>
                <w:b/>
                <w:sz w:val="20"/>
                <w:szCs w:val="20"/>
              </w:rPr>
            </w:pPr>
          </w:p>
          <w:p w:rsidR="00BA34F3" w:rsidRPr="009A3881" w:rsidRDefault="00BA34F3" w:rsidP="001A1081">
            <w:pPr>
              <w:rPr>
                <w:rFonts w:ascii="Arial" w:hAnsi="Arial" w:cs="Arial"/>
                <w:b/>
                <w:sz w:val="20"/>
                <w:szCs w:val="20"/>
              </w:rPr>
            </w:pPr>
          </w:p>
        </w:tc>
      </w:tr>
      <w:tr w:rsidR="001A1081" w:rsidRPr="009A3881" w:rsidTr="009A3881">
        <w:trPr>
          <w:trHeight w:val="1440"/>
        </w:trPr>
        <w:tc>
          <w:tcPr>
            <w:tcW w:w="6930" w:type="dxa"/>
          </w:tcPr>
          <w:p w:rsidR="001A1081" w:rsidRPr="009A3881" w:rsidRDefault="001A1081" w:rsidP="00BA34F3">
            <w:pPr>
              <w:autoSpaceDE w:val="0"/>
              <w:autoSpaceDN w:val="0"/>
              <w:adjustRightInd w:val="0"/>
              <w:spacing w:after="120"/>
              <w:rPr>
                <w:rFonts w:ascii="Arial" w:hAnsi="Arial" w:cs="Arial"/>
                <w:bCs/>
                <w:sz w:val="20"/>
                <w:szCs w:val="20"/>
              </w:rPr>
            </w:pPr>
            <w:r w:rsidRPr="009A3881">
              <w:rPr>
                <w:rFonts w:ascii="Arial" w:hAnsi="Arial" w:cs="Arial"/>
                <w:sz w:val="20"/>
                <w:szCs w:val="20"/>
              </w:rPr>
              <w:t xml:space="preserve">10.  </w:t>
            </w:r>
            <w:r w:rsidR="00A2344C" w:rsidRPr="009A3881">
              <w:rPr>
                <w:rFonts w:ascii="Arial" w:hAnsi="Arial" w:cs="Arial"/>
                <w:sz w:val="20"/>
                <w:szCs w:val="20"/>
                <w:u w:val="single"/>
              </w:rPr>
              <w:t>Student-Faculty Interactions</w:t>
            </w:r>
          </w:p>
          <w:p w:rsidR="001A1081" w:rsidRPr="009A3881" w:rsidRDefault="00BA34F3" w:rsidP="007775BE">
            <w:pPr>
              <w:autoSpaceDE w:val="0"/>
              <w:autoSpaceDN w:val="0"/>
              <w:adjustRightInd w:val="0"/>
              <w:rPr>
                <w:rFonts w:ascii="Arial" w:hAnsi="Arial" w:cs="Arial"/>
                <w:sz w:val="20"/>
                <w:szCs w:val="20"/>
              </w:rPr>
            </w:pPr>
            <w:r w:rsidRPr="009A3881">
              <w:rPr>
                <w:rFonts w:ascii="Arial" w:hAnsi="Arial" w:cs="Arial"/>
                <w:sz w:val="20"/>
                <w:szCs w:val="20"/>
              </w:rPr>
              <w:t>Curricula facilitate student-faculty and student-student interactions appropriate to the program type and achievement of learning goals</w:t>
            </w:r>
            <w:proofErr w:type="gramStart"/>
            <w:r w:rsidRPr="009A3881">
              <w:rPr>
                <w:rFonts w:ascii="Arial" w:hAnsi="Arial" w:cs="Arial"/>
                <w:sz w:val="20"/>
                <w:szCs w:val="20"/>
              </w:rPr>
              <w:t>.</w:t>
            </w:r>
            <w:r w:rsidR="001A1081" w:rsidRPr="009A3881">
              <w:rPr>
                <w:rFonts w:ascii="Arial" w:hAnsi="Arial" w:cs="Arial"/>
                <w:bCs/>
                <w:sz w:val="20"/>
                <w:szCs w:val="20"/>
              </w:rPr>
              <w:t>.</w:t>
            </w:r>
            <w:proofErr w:type="gramEnd"/>
          </w:p>
        </w:tc>
        <w:tc>
          <w:tcPr>
            <w:tcW w:w="7578" w:type="dxa"/>
          </w:tcPr>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tc>
      </w:tr>
      <w:tr w:rsidR="00BA34F3" w:rsidRPr="009A3881" w:rsidTr="009A3881">
        <w:tblPrEx>
          <w:tblLook w:val="01E0" w:firstRow="1" w:lastRow="1" w:firstColumn="1" w:lastColumn="1" w:noHBand="0" w:noVBand="0"/>
        </w:tblPrEx>
        <w:trPr>
          <w:trHeight w:val="1440"/>
        </w:trPr>
        <w:tc>
          <w:tcPr>
            <w:tcW w:w="6930" w:type="dxa"/>
            <w:tcBorders>
              <w:bottom w:val="single" w:sz="4" w:space="0" w:color="auto"/>
            </w:tcBorders>
          </w:tcPr>
          <w:p w:rsidR="00BA34F3" w:rsidRPr="009A3881" w:rsidRDefault="00BA34F3" w:rsidP="00BA34F3">
            <w:pPr>
              <w:spacing w:after="120"/>
              <w:rPr>
                <w:rFonts w:ascii="Arial" w:hAnsi="Arial" w:cs="Arial"/>
                <w:sz w:val="20"/>
                <w:szCs w:val="20"/>
              </w:rPr>
            </w:pPr>
            <w:r w:rsidRPr="009A3881">
              <w:rPr>
                <w:rFonts w:ascii="Arial" w:hAnsi="Arial" w:cs="Arial"/>
                <w:sz w:val="20"/>
                <w:szCs w:val="20"/>
              </w:rPr>
              <w:t xml:space="preserve">11.  </w:t>
            </w:r>
            <w:r w:rsidR="00A2344C" w:rsidRPr="009A3881">
              <w:rPr>
                <w:rFonts w:ascii="Arial" w:hAnsi="Arial" w:cs="Arial"/>
                <w:sz w:val="20"/>
                <w:szCs w:val="20"/>
                <w:u w:val="single"/>
              </w:rPr>
              <w:t>Degree Program Educational Level, Structure, and Equivalence</w:t>
            </w:r>
          </w:p>
          <w:p w:rsidR="00BA34F3" w:rsidRPr="009A3881" w:rsidRDefault="00BA34F3" w:rsidP="00BA34F3">
            <w:pPr>
              <w:rPr>
                <w:rFonts w:ascii="Arial" w:hAnsi="Arial" w:cs="Arial"/>
                <w:sz w:val="20"/>
                <w:szCs w:val="20"/>
              </w:rPr>
            </w:pPr>
            <w:r w:rsidRPr="009A3881">
              <w:rPr>
                <w:rFonts w:ascii="Arial" w:hAnsi="Arial" w:cs="Arial"/>
                <w:sz w:val="20"/>
                <w:szCs w:val="20"/>
              </w:rPr>
              <w:t>Degree program structure and design, including the normal time-to-degree, are appropriate to the level of the degree program and ensure achievement of high-quality learning outcomes. Programs resulting in the same degree credential are structured and designed to ensure equivalence.</w:t>
            </w:r>
          </w:p>
        </w:tc>
        <w:tc>
          <w:tcPr>
            <w:tcW w:w="7578" w:type="dxa"/>
            <w:tcBorders>
              <w:bottom w:val="single" w:sz="4" w:space="0" w:color="auto"/>
            </w:tcBorders>
          </w:tcPr>
          <w:p w:rsidR="00BA34F3" w:rsidRPr="009A3881" w:rsidRDefault="00BA34F3" w:rsidP="00BA34F3">
            <w:pPr>
              <w:rPr>
                <w:rFonts w:ascii="Arial" w:hAnsi="Arial" w:cs="Arial"/>
                <w:b/>
                <w:sz w:val="20"/>
                <w:szCs w:val="20"/>
              </w:rPr>
            </w:pPr>
          </w:p>
        </w:tc>
      </w:tr>
      <w:tr w:rsidR="001A1081" w:rsidRPr="009A3881" w:rsidTr="009A3881">
        <w:tblPrEx>
          <w:tblLook w:val="01E0" w:firstRow="1" w:lastRow="1" w:firstColumn="1" w:lastColumn="1" w:noHBand="0" w:noVBand="0"/>
        </w:tblPrEx>
        <w:trPr>
          <w:trHeight w:val="1440"/>
        </w:trPr>
        <w:tc>
          <w:tcPr>
            <w:tcW w:w="6930" w:type="dxa"/>
            <w:tcBorders>
              <w:bottom w:val="single" w:sz="4" w:space="0" w:color="auto"/>
            </w:tcBorders>
          </w:tcPr>
          <w:p w:rsidR="001A1081" w:rsidRPr="009A3881" w:rsidRDefault="001A1081" w:rsidP="008C5CA9">
            <w:pPr>
              <w:spacing w:after="120"/>
              <w:rPr>
                <w:rFonts w:ascii="Arial" w:hAnsi="Arial" w:cs="Arial"/>
                <w:sz w:val="20"/>
                <w:szCs w:val="20"/>
              </w:rPr>
            </w:pPr>
            <w:r w:rsidRPr="009A3881">
              <w:rPr>
                <w:rFonts w:ascii="Arial" w:hAnsi="Arial" w:cs="Arial"/>
                <w:sz w:val="20"/>
                <w:szCs w:val="20"/>
              </w:rPr>
              <w:t xml:space="preserve">12.  </w:t>
            </w:r>
            <w:r w:rsidR="00BA34F3" w:rsidRPr="009A3881">
              <w:rPr>
                <w:rFonts w:ascii="Arial" w:hAnsi="Arial" w:cs="Arial"/>
                <w:sz w:val="20"/>
                <w:szCs w:val="20"/>
                <w:u w:val="single"/>
              </w:rPr>
              <w:t>T</w:t>
            </w:r>
            <w:r w:rsidR="00A2344C" w:rsidRPr="009A3881">
              <w:rPr>
                <w:rFonts w:ascii="Arial" w:hAnsi="Arial" w:cs="Arial"/>
                <w:sz w:val="20"/>
                <w:szCs w:val="20"/>
                <w:u w:val="single"/>
              </w:rPr>
              <w:t>eaching Effectiveness</w:t>
            </w:r>
          </w:p>
          <w:p w:rsidR="001A1081" w:rsidRPr="009A3881" w:rsidRDefault="00BA34F3" w:rsidP="00BA34F3">
            <w:pPr>
              <w:rPr>
                <w:rFonts w:ascii="Arial" w:hAnsi="Arial" w:cs="Arial"/>
                <w:sz w:val="20"/>
                <w:szCs w:val="20"/>
              </w:rPr>
            </w:pPr>
            <w:r w:rsidRPr="009A3881">
              <w:rPr>
                <w:rFonts w:ascii="Arial" w:hAnsi="Arial" w:cs="Arial"/>
                <w:sz w:val="20"/>
                <w:szCs w:val="20"/>
              </w:rPr>
              <w:t>The school has policies and processes to enhance the teaching effectiveness of faculty and professional staff involved with teaching across the range of its educational programs and delivery modes.</w:t>
            </w:r>
          </w:p>
        </w:tc>
        <w:tc>
          <w:tcPr>
            <w:tcW w:w="7578" w:type="dxa"/>
            <w:tcBorders>
              <w:bottom w:val="single" w:sz="4" w:space="0" w:color="auto"/>
            </w:tcBorders>
          </w:tcPr>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p w:rsidR="001A1081" w:rsidRPr="009A3881" w:rsidRDefault="001A1081" w:rsidP="001A1081">
            <w:pPr>
              <w:rPr>
                <w:rFonts w:ascii="Arial" w:hAnsi="Arial" w:cs="Arial"/>
                <w:b/>
                <w:sz w:val="20"/>
                <w:szCs w:val="20"/>
              </w:rPr>
            </w:pPr>
          </w:p>
        </w:tc>
      </w:tr>
      <w:tr w:rsidR="009A3881" w:rsidRPr="009A3881" w:rsidTr="009A3881">
        <w:tblPrEx>
          <w:tblLook w:val="01E0" w:firstRow="1" w:lastRow="1" w:firstColumn="1" w:lastColumn="1" w:noHBand="0" w:noVBand="0"/>
        </w:tblPrEx>
        <w:trPr>
          <w:trHeight w:val="1440"/>
        </w:trPr>
        <w:tc>
          <w:tcPr>
            <w:tcW w:w="6930" w:type="dxa"/>
            <w:tcBorders>
              <w:top w:val="single" w:sz="4" w:space="0" w:color="auto"/>
              <w:left w:val="nil"/>
              <w:bottom w:val="nil"/>
              <w:right w:val="nil"/>
            </w:tcBorders>
          </w:tcPr>
          <w:p w:rsidR="009A3881" w:rsidRPr="009A3881" w:rsidRDefault="009A3881" w:rsidP="008C5CA9">
            <w:pPr>
              <w:spacing w:after="120"/>
              <w:rPr>
                <w:rFonts w:ascii="Arial" w:hAnsi="Arial" w:cs="Arial"/>
                <w:sz w:val="20"/>
                <w:szCs w:val="20"/>
              </w:rPr>
            </w:pPr>
          </w:p>
        </w:tc>
        <w:tc>
          <w:tcPr>
            <w:tcW w:w="7578" w:type="dxa"/>
            <w:tcBorders>
              <w:top w:val="single" w:sz="4" w:space="0" w:color="auto"/>
              <w:left w:val="nil"/>
              <w:bottom w:val="nil"/>
              <w:right w:val="nil"/>
            </w:tcBorders>
          </w:tcPr>
          <w:p w:rsidR="009A3881" w:rsidRPr="009A3881" w:rsidRDefault="009A3881" w:rsidP="001A1081">
            <w:pPr>
              <w:rPr>
                <w:rFonts w:ascii="Arial" w:hAnsi="Arial" w:cs="Arial"/>
                <w:b/>
                <w:sz w:val="20"/>
                <w:szCs w:val="20"/>
              </w:rPr>
            </w:pPr>
          </w:p>
        </w:tc>
      </w:tr>
      <w:tr w:rsidR="009A3881" w:rsidRPr="009A3881" w:rsidTr="009A3881">
        <w:tblPrEx>
          <w:tblLook w:val="01E0" w:firstRow="1" w:lastRow="1" w:firstColumn="1" w:lastColumn="1" w:noHBand="0" w:noVBand="0"/>
        </w:tblPrEx>
        <w:trPr>
          <w:trHeight w:val="890"/>
        </w:trPr>
        <w:tc>
          <w:tcPr>
            <w:tcW w:w="6930" w:type="dxa"/>
            <w:tcBorders>
              <w:top w:val="nil"/>
              <w:left w:val="nil"/>
              <w:bottom w:val="single" w:sz="4" w:space="0" w:color="auto"/>
              <w:right w:val="nil"/>
            </w:tcBorders>
          </w:tcPr>
          <w:p w:rsidR="009A3881" w:rsidRPr="009A3881" w:rsidRDefault="009A3881" w:rsidP="008C5CA9">
            <w:pPr>
              <w:spacing w:after="120"/>
              <w:rPr>
                <w:rFonts w:ascii="Arial" w:hAnsi="Arial" w:cs="Arial"/>
                <w:sz w:val="20"/>
                <w:szCs w:val="20"/>
              </w:rPr>
            </w:pPr>
          </w:p>
        </w:tc>
        <w:tc>
          <w:tcPr>
            <w:tcW w:w="7578" w:type="dxa"/>
            <w:tcBorders>
              <w:top w:val="nil"/>
              <w:left w:val="nil"/>
              <w:bottom w:val="single" w:sz="4" w:space="0" w:color="auto"/>
              <w:right w:val="nil"/>
            </w:tcBorders>
          </w:tcPr>
          <w:p w:rsidR="009A3881" w:rsidRPr="009A3881" w:rsidRDefault="009A3881" w:rsidP="001A1081">
            <w:pPr>
              <w:rPr>
                <w:rFonts w:ascii="Arial" w:hAnsi="Arial" w:cs="Arial"/>
                <w:b/>
                <w:sz w:val="20"/>
                <w:szCs w:val="20"/>
              </w:rPr>
            </w:pPr>
          </w:p>
        </w:tc>
      </w:tr>
      <w:tr w:rsidR="00BA34F3" w:rsidRPr="009A3881" w:rsidTr="009A3881">
        <w:tblPrEx>
          <w:tblLook w:val="01E0" w:firstRow="1" w:lastRow="1" w:firstColumn="1" w:lastColumn="1" w:noHBand="0" w:noVBand="0"/>
        </w:tblPrEx>
        <w:tc>
          <w:tcPr>
            <w:tcW w:w="6930" w:type="dxa"/>
            <w:tcBorders>
              <w:top w:val="single" w:sz="4" w:space="0" w:color="auto"/>
              <w:bottom w:val="single" w:sz="4" w:space="0" w:color="auto"/>
            </w:tcBorders>
          </w:tcPr>
          <w:p w:rsidR="00BA34F3" w:rsidRPr="009A3881" w:rsidRDefault="00BA34F3" w:rsidP="00BA34F3">
            <w:pPr>
              <w:jc w:val="center"/>
              <w:rPr>
                <w:rFonts w:ascii="Arial" w:hAnsi="Arial" w:cs="Arial"/>
                <w:b/>
                <w:sz w:val="20"/>
                <w:szCs w:val="20"/>
              </w:rPr>
            </w:pPr>
            <w:r w:rsidRPr="009A3881">
              <w:rPr>
                <w:rFonts w:ascii="Arial" w:hAnsi="Arial" w:cs="Arial"/>
                <w:b/>
                <w:sz w:val="20"/>
                <w:szCs w:val="20"/>
              </w:rPr>
              <w:lastRenderedPageBreak/>
              <w:t>AACSB ACADEMIC AND PROFESSIONAL ENGAGEMENT STANDARDS</w:t>
            </w:r>
          </w:p>
        </w:tc>
        <w:tc>
          <w:tcPr>
            <w:tcW w:w="7578" w:type="dxa"/>
            <w:tcBorders>
              <w:top w:val="single" w:sz="4" w:space="0" w:color="auto"/>
              <w:bottom w:val="single" w:sz="4" w:space="0" w:color="auto"/>
            </w:tcBorders>
          </w:tcPr>
          <w:p w:rsidR="00BA34F3" w:rsidRPr="009A3881" w:rsidRDefault="00BA34F3" w:rsidP="00BA34F3">
            <w:pPr>
              <w:jc w:val="center"/>
              <w:rPr>
                <w:rFonts w:ascii="Arial" w:hAnsi="Arial" w:cs="Arial"/>
                <w:b/>
                <w:sz w:val="20"/>
                <w:szCs w:val="20"/>
              </w:rPr>
            </w:pPr>
            <w:r w:rsidRPr="009A3881">
              <w:rPr>
                <w:rFonts w:ascii="Arial" w:hAnsi="Arial" w:cs="Arial"/>
                <w:b/>
                <w:sz w:val="20"/>
                <w:szCs w:val="20"/>
              </w:rPr>
              <w:t>QUESTIONS/COMMENTS</w:t>
            </w:r>
          </w:p>
        </w:tc>
      </w:tr>
      <w:tr w:rsidR="001A1081" w:rsidRPr="009A3881" w:rsidTr="009A3881">
        <w:tblPrEx>
          <w:tblLook w:val="01E0" w:firstRow="1" w:lastRow="1" w:firstColumn="1" w:lastColumn="1" w:noHBand="0" w:noVBand="0"/>
        </w:tblPrEx>
        <w:trPr>
          <w:trHeight w:val="1440"/>
        </w:trPr>
        <w:tc>
          <w:tcPr>
            <w:tcW w:w="6930" w:type="dxa"/>
          </w:tcPr>
          <w:p w:rsidR="001A1081" w:rsidRPr="009A3881" w:rsidRDefault="001A1081" w:rsidP="00BA34F3">
            <w:pPr>
              <w:spacing w:after="120"/>
              <w:rPr>
                <w:rFonts w:ascii="Arial" w:hAnsi="Arial" w:cs="Arial"/>
                <w:sz w:val="20"/>
                <w:szCs w:val="20"/>
                <w:u w:val="single"/>
              </w:rPr>
            </w:pPr>
            <w:r w:rsidRPr="009A3881">
              <w:rPr>
                <w:rFonts w:ascii="Arial" w:hAnsi="Arial" w:cs="Arial"/>
                <w:sz w:val="20"/>
                <w:szCs w:val="20"/>
              </w:rPr>
              <w:t xml:space="preserve">13.  </w:t>
            </w:r>
            <w:r w:rsidR="00A2344C" w:rsidRPr="009A3881">
              <w:rPr>
                <w:rFonts w:ascii="Arial" w:hAnsi="Arial" w:cs="Arial"/>
                <w:sz w:val="20"/>
                <w:szCs w:val="20"/>
                <w:u w:val="single"/>
              </w:rPr>
              <w:t>Student Academic and Professional Engagement</w:t>
            </w:r>
          </w:p>
          <w:p w:rsidR="001A1081" w:rsidRPr="009A3881" w:rsidRDefault="00BA34F3" w:rsidP="00BA34F3">
            <w:pPr>
              <w:rPr>
                <w:rFonts w:ascii="Arial" w:hAnsi="Arial" w:cs="Arial"/>
                <w:sz w:val="20"/>
                <w:szCs w:val="20"/>
              </w:rPr>
            </w:pPr>
            <w:r w:rsidRPr="009A3881">
              <w:rPr>
                <w:rFonts w:ascii="Arial" w:hAnsi="Arial" w:cs="Arial"/>
                <w:sz w:val="20"/>
                <w:szCs w:val="20"/>
              </w:rPr>
              <w:t>Curricula facilitate student academic and professional engagement appropriate to the degree program type and learning goals.</w:t>
            </w:r>
          </w:p>
        </w:tc>
        <w:tc>
          <w:tcPr>
            <w:tcW w:w="7578" w:type="dxa"/>
          </w:tcPr>
          <w:p w:rsidR="001A1081" w:rsidRPr="009A3881" w:rsidRDefault="001A1081" w:rsidP="001A1081">
            <w:pPr>
              <w:rPr>
                <w:rFonts w:ascii="Arial" w:hAnsi="Arial" w:cs="Arial"/>
                <w:b/>
                <w:sz w:val="20"/>
                <w:szCs w:val="20"/>
              </w:rPr>
            </w:pPr>
          </w:p>
          <w:p w:rsidR="00BA34F3" w:rsidRPr="009A3881" w:rsidRDefault="00BA34F3" w:rsidP="001A1081">
            <w:pPr>
              <w:rPr>
                <w:rFonts w:ascii="Arial" w:hAnsi="Arial" w:cs="Arial"/>
                <w:b/>
                <w:sz w:val="20"/>
                <w:szCs w:val="20"/>
              </w:rPr>
            </w:pPr>
          </w:p>
          <w:p w:rsidR="00BA34F3" w:rsidRPr="009A3881" w:rsidRDefault="00BA34F3" w:rsidP="001A1081">
            <w:pPr>
              <w:rPr>
                <w:rFonts w:ascii="Arial" w:hAnsi="Arial" w:cs="Arial"/>
                <w:b/>
                <w:sz w:val="20"/>
                <w:szCs w:val="20"/>
              </w:rPr>
            </w:pPr>
          </w:p>
          <w:p w:rsidR="00BA34F3" w:rsidRPr="009A3881" w:rsidRDefault="00BA34F3" w:rsidP="001A1081">
            <w:pPr>
              <w:rPr>
                <w:rFonts w:ascii="Arial" w:hAnsi="Arial" w:cs="Arial"/>
                <w:b/>
                <w:sz w:val="20"/>
                <w:szCs w:val="20"/>
              </w:rPr>
            </w:pPr>
          </w:p>
          <w:p w:rsidR="00BA34F3" w:rsidRPr="009A3881" w:rsidRDefault="00BA34F3" w:rsidP="001A1081">
            <w:pPr>
              <w:rPr>
                <w:rFonts w:ascii="Arial" w:hAnsi="Arial" w:cs="Arial"/>
                <w:b/>
                <w:sz w:val="20"/>
                <w:szCs w:val="20"/>
              </w:rPr>
            </w:pPr>
          </w:p>
        </w:tc>
      </w:tr>
      <w:tr w:rsidR="001A1081" w:rsidRPr="009A3881" w:rsidTr="009A3881">
        <w:tblPrEx>
          <w:tblLook w:val="01E0" w:firstRow="1" w:lastRow="1" w:firstColumn="1" w:lastColumn="1" w:noHBand="0" w:noVBand="0"/>
        </w:tblPrEx>
        <w:trPr>
          <w:trHeight w:val="1440"/>
        </w:trPr>
        <w:tc>
          <w:tcPr>
            <w:tcW w:w="6930" w:type="dxa"/>
          </w:tcPr>
          <w:p w:rsidR="001A1081" w:rsidRPr="009A3881" w:rsidRDefault="001A1081" w:rsidP="00BA34F3">
            <w:pPr>
              <w:spacing w:after="120"/>
              <w:rPr>
                <w:rFonts w:ascii="Arial" w:hAnsi="Arial" w:cs="Arial"/>
                <w:sz w:val="20"/>
                <w:szCs w:val="20"/>
                <w:u w:val="single"/>
              </w:rPr>
            </w:pPr>
            <w:r w:rsidRPr="009A3881">
              <w:rPr>
                <w:rFonts w:ascii="Arial" w:hAnsi="Arial" w:cs="Arial"/>
                <w:sz w:val="20"/>
                <w:szCs w:val="20"/>
              </w:rPr>
              <w:t xml:space="preserve">14. </w:t>
            </w:r>
            <w:r w:rsidR="00A2344C" w:rsidRPr="009A3881">
              <w:rPr>
                <w:rFonts w:ascii="Arial" w:hAnsi="Arial" w:cs="Arial"/>
                <w:sz w:val="20"/>
                <w:szCs w:val="20"/>
              </w:rPr>
              <w:t xml:space="preserve"> </w:t>
            </w:r>
            <w:r w:rsidR="00A2344C" w:rsidRPr="009A3881">
              <w:rPr>
                <w:rFonts w:ascii="Arial" w:hAnsi="Arial" w:cs="Arial"/>
                <w:sz w:val="20"/>
                <w:szCs w:val="20"/>
                <w:u w:val="single"/>
              </w:rPr>
              <w:t>Executive Education</w:t>
            </w:r>
            <w:r w:rsidR="00BA34F3" w:rsidRPr="009A3881">
              <w:rPr>
                <w:rFonts w:ascii="Arial" w:hAnsi="Arial" w:cs="Arial"/>
                <w:sz w:val="20"/>
                <w:szCs w:val="20"/>
                <w:u w:val="single"/>
              </w:rPr>
              <w:t xml:space="preserve"> </w:t>
            </w:r>
          </w:p>
          <w:p w:rsidR="001A1081" w:rsidRPr="009A3881" w:rsidRDefault="00BA34F3" w:rsidP="00BA34F3">
            <w:pPr>
              <w:rPr>
                <w:rFonts w:ascii="Arial" w:hAnsi="Arial" w:cs="Arial"/>
                <w:sz w:val="20"/>
                <w:szCs w:val="20"/>
              </w:rPr>
            </w:pPr>
            <w:r w:rsidRPr="009A3881">
              <w:rPr>
                <w:rFonts w:ascii="Arial" w:hAnsi="Arial" w:cs="Arial"/>
                <w:sz w:val="20"/>
                <w:szCs w:val="20"/>
              </w:rPr>
              <w:t>If applicable, executive education (activities not leading to a degree) complements teaching and learning in degree programs and intellectual contributions. The school has appropriate processes to ensure high quality in meeting client expectations and continuous improvement in executive education programs.</w:t>
            </w:r>
          </w:p>
        </w:tc>
        <w:tc>
          <w:tcPr>
            <w:tcW w:w="7578" w:type="dxa"/>
          </w:tcPr>
          <w:p w:rsidR="001A1081" w:rsidRPr="009A3881" w:rsidRDefault="001A1081" w:rsidP="001A1081">
            <w:pPr>
              <w:rPr>
                <w:rFonts w:ascii="Arial" w:hAnsi="Arial" w:cs="Arial"/>
                <w:b/>
                <w:sz w:val="20"/>
                <w:szCs w:val="20"/>
              </w:rPr>
            </w:pPr>
          </w:p>
        </w:tc>
      </w:tr>
      <w:tr w:rsidR="001A1081" w:rsidRPr="009A3881" w:rsidTr="009A3881">
        <w:tblPrEx>
          <w:tblLook w:val="01E0" w:firstRow="1" w:lastRow="1" w:firstColumn="1" w:lastColumn="1" w:noHBand="0" w:noVBand="0"/>
        </w:tblPrEx>
        <w:trPr>
          <w:trHeight w:val="1440"/>
        </w:trPr>
        <w:tc>
          <w:tcPr>
            <w:tcW w:w="6930" w:type="dxa"/>
          </w:tcPr>
          <w:p w:rsidR="001A1081" w:rsidRPr="009A3881" w:rsidRDefault="001A1081" w:rsidP="00BA34F3">
            <w:pPr>
              <w:spacing w:after="120"/>
              <w:rPr>
                <w:rFonts w:ascii="Arial" w:hAnsi="Arial" w:cs="Arial"/>
                <w:sz w:val="20"/>
                <w:szCs w:val="20"/>
                <w:u w:val="single"/>
              </w:rPr>
            </w:pPr>
            <w:r w:rsidRPr="009A3881">
              <w:rPr>
                <w:rFonts w:ascii="Arial" w:hAnsi="Arial" w:cs="Arial"/>
                <w:sz w:val="20"/>
                <w:szCs w:val="20"/>
              </w:rPr>
              <w:t xml:space="preserve">15.  </w:t>
            </w:r>
            <w:r w:rsidR="00A2344C" w:rsidRPr="009A3881">
              <w:rPr>
                <w:rFonts w:ascii="Arial" w:hAnsi="Arial" w:cs="Arial"/>
                <w:sz w:val="20"/>
                <w:szCs w:val="20"/>
                <w:u w:val="single"/>
              </w:rPr>
              <w:t>Faculty Qualifications And Engagement</w:t>
            </w:r>
          </w:p>
          <w:p w:rsidR="001A1081" w:rsidRPr="009A3881" w:rsidRDefault="00BA34F3" w:rsidP="00BA34F3">
            <w:pPr>
              <w:rPr>
                <w:rFonts w:ascii="Arial" w:hAnsi="Arial" w:cs="Arial"/>
                <w:sz w:val="20"/>
                <w:szCs w:val="20"/>
              </w:rPr>
            </w:pPr>
            <w:r w:rsidRPr="009A3881">
              <w:rPr>
                <w:rFonts w:ascii="Arial" w:hAnsi="Arial" w:cs="Arial"/>
                <w:sz w:val="20"/>
                <w:szCs w:val="20"/>
              </w:rPr>
              <w:t>The school maintains and strategically deploys participating and supporting faculty who collectively and individually demonstrate significant academic and professional engagement that sustains the intellectual capital necessary to support high-quality outcomes consistent with the school’s mission and strategies.</w:t>
            </w:r>
          </w:p>
        </w:tc>
        <w:tc>
          <w:tcPr>
            <w:tcW w:w="7578" w:type="dxa"/>
          </w:tcPr>
          <w:p w:rsidR="001A1081" w:rsidRPr="009A3881" w:rsidRDefault="001A1081" w:rsidP="001A1081">
            <w:pPr>
              <w:rPr>
                <w:rFonts w:ascii="Arial" w:hAnsi="Arial" w:cs="Arial"/>
                <w:b/>
                <w:sz w:val="20"/>
                <w:szCs w:val="20"/>
              </w:rPr>
            </w:pPr>
          </w:p>
        </w:tc>
      </w:tr>
    </w:tbl>
    <w:p w:rsidR="00E749C8" w:rsidRPr="009A3881" w:rsidRDefault="00E749C8" w:rsidP="00091009">
      <w:pPr>
        <w:rPr>
          <w:rFonts w:ascii="Arial" w:hAnsi="Arial" w:cs="Arial"/>
          <w:sz w:val="20"/>
          <w:szCs w:val="20"/>
        </w:rPr>
      </w:pPr>
    </w:p>
    <w:sectPr w:rsidR="00E749C8" w:rsidRPr="009A3881" w:rsidSect="00091009">
      <w:footerReference w:type="even" r:id="rId8"/>
      <w:footerReference w:type="default" r:id="rId9"/>
      <w:headerReference w:type="first" r:id="rId10"/>
      <w:footerReference w:type="first" r:id="rId11"/>
      <w:pgSz w:w="15840" w:h="12240" w:orient="landscape"/>
      <w:pgMar w:top="1008" w:right="1080" w:bottom="1008"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09" w:rsidRDefault="00091009">
      <w:r>
        <w:separator/>
      </w:r>
    </w:p>
  </w:endnote>
  <w:endnote w:type="continuationSeparator" w:id="0">
    <w:p w:rsidR="00091009" w:rsidRDefault="0009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09" w:rsidRDefault="008B4CFC">
    <w:pPr>
      <w:pStyle w:val="Footer"/>
      <w:framePr w:wrap="around" w:vAnchor="text" w:hAnchor="margin" w:xAlign="right" w:y="1"/>
      <w:rPr>
        <w:rStyle w:val="PageNumber"/>
      </w:rPr>
    </w:pPr>
    <w:r>
      <w:rPr>
        <w:rStyle w:val="PageNumber"/>
      </w:rPr>
      <w:fldChar w:fldCharType="begin"/>
    </w:r>
    <w:r w:rsidR="00091009">
      <w:rPr>
        <w:rStyle w:val="PageNumber"/>
      </w:rPr>
      <w:instrText xml:space="preserve">PAGE  </w:instrText>
    </w:r>
    <w:r>
      <w:rPr>
        <w:rStyle w:val="PageNumber"/>
      </w:rPr>
      <w:fldChar w:fldCharType="end"/>
    </w:r>
  </w:p>
  <w:p w:rsidR="00091009" w:rsidRDefault="000910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09" w:rsidRDefault="00091009">
    <w:pPr>
      <w:pStyle w:val="Footer"/>
      <w:framePr w:wrap="around" w:vAnchor="text" w:hAnchor="margin" w:xAlign="right" w:y="1"/>
      <w:rPr>
        <w:rStyle w:val="PageNumber"/>
      </w:rPr>
    </w:pPr>
  </w:p>
  <w:p w:rsidR="00091009" w:rsidRPr="00A2344C" w:rsidRDefault="00091009" w:rsidP="00091009">
    <w:pPr>
      <w:pStyle w:val="Foo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61D" w:rsidRPr="006C661D" w:rsidRDefault="006C661D">
    <w:pPr>
      <w:pStyle w:val="Footer"/>
      <w:rPr>
        <w:rFonts w:ascii="Arial" w:hAnsi="Arial" w:cs="Arial"/>
        <w:sz w:val="16"/>
        <w:szCs w:val="16"/>
      </w:rPr>
    </w:pPr>
    <w:r w:rsidRPr="006C661D">
      <w:rPr>
        <w:rFonts w:ascii="Arial" w:hAnsi="Arial" w:cs="Arial"/>
        <w:sz w:val="16"/>
        <w:szCs w:val="16"/>
      </w:rPr>
      <w:t>AccreditationStandardsWorksheet_Bus_v20181003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09" w:rsidRDefault="00091009">
      <w:r>
        <w:separator/>
      </w:r>
    </w:p>
  </w:footnote>
  <w:footnote w:type="continuationSeparator" w:id="0">
    <w:p w:rsidR="00091009" w:rsidRDefault="00091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CA9" w:rsidRPr="009A3881" w:rsidRDefault="009A3881" w:rsidP="008C5CA9">
    <w:pPr>
      <w:pStyle w:val="Header"/>
      <w:spacing w:after="120"/>
      <w:jc w:val="center"/>
      <w:rPr>
        <w:rFonts w:ascii="Arial" w:hAnsi="Arial" w:cs="Arial"/>
        <w:b/>
        <w:sz w:val="32"/>
        <w:szCs w:val="32"/>
      </w:rPr>
    </w:pPr>
    <w:r w:rsidRPr="009A3881">
      <w:rPr>
        <w:rFonts w:ascii="Arial" w:hAnsi="Arial" w:cs="Arial"/>
        <w:b/>
        <w:noProof/>
        <w:sz w:val="28"/>
      </w:rPr>
      <w:drawing>
        <wp:anchor distT="0" distB="0" distL="114300" distR="114300" simplePos="0" relativeHeight="251658240" behindDoc="1" locked="0" layoutInCell="1" allowOverlap="1" wp14:anchorId="3E3BCA4F" wp14:editId="16CD01AF">
          <wp:simplePos x="0" y="0"/>
          <wp:positionH relativeFrom="column">
            <wp:posOffset>7139940</wp:posOffset>
          </wp:positionH>
          <wp:positionV relativeFrom="paragraph">
            <wp:posOffset>-137160</wp:posOffset>
          </wp:positionV>
          <wp:extent cx="1828800" cy="585216"/>
          <wp:effectExtent l="0" t="0" r="0" b="5715"/>
          <wp:wrapNone/>
          <wp:docPr id="3" name="Picture 3" descr="I:\Projects\Branding Committee\2 strategy_and_design_phase\JPG Logos\Excluding Tagline\AACSB-logo-primary-colo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ojects\Branding Committee\2 strategy_and_design_phase\JPG Logos\Excluding Tagline\AACSB-logo-primary-color-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585216"/>
                  </a:xfrm>
                  <a:prstGeom prst="rect">
                    <a:avLst/>
                  </a:prstGeom>
                  <a:noFill/>
                  <a:ln>
                    <a:noFill/>
                  </a:ln>
                </pic:spPr>
              </pic:pic>
            </a:graphicData>
          </a:graphic>
        </wp:anchor>
      </w:drawing>
    </w:r>
    <w:r w:rsidR="008C5CA9" w:rsidRPr="009A3881">
      <w:rPr>
        <w:rFonts w:ascii="Arial" w:hAnsi="Arial" w:cs="Arial"/>
        <w:b/>
        <w:sz w:val="32"/>
        <w:szCs w:val="32"/>
      </w:rPr>
      <w:t>AACSB Accreditation Standards Worksheet</w:t>
    </w:r>
  </w:p>
  <w:p w:rsidR="009A3881" w:rsidRPr="009A3881" w:rsidRDefault="009A3881" w:rsidP="009A3881">
    <w:pPr>
      <w:pStyle w:val="Header"/>
      <w:spacing w:after="120"/>
      <w:rPr>
        <w:rFonts w:ascii="Arial" w:hAnsi="Arial" w:cs="Arial"/>
        <w:sz w:val="28"/>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0D82"/>
    <w:multiLevelType w:val="hybridMultilevel"/>
    <w:tmpl w:val="A8985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34E74"/>
    <w:multiLevelType w:val="hybridMultilevel"/>
    <w:tmpl w:val="0F9AC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07B39"/>
    <w:multiLevelType w:val="hybridMultilevel"/>
    <w:tmpl w:val="0E88E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F200B7"/>
    <w:multiLevelType w:val="hybridMultilevel"/>
    <w:tmpl w:val="632E56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1F292E"/>
    <w:multiLevelType w:val="hybridMultilevel"/>
    <w:tmpl w:val="1C184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8D624C"/>
    <w:multiLevelType w:val="hybridMultilevel"/>
    <w:tmpl w:val="86C0D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AD1C35"/>
    <w:multiLevelType w:val="hybridMultilevel"/>
    <w:tmpl w:val="64F21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85374D"/>
    <w:multiLevelType w:val="hybridMultilevel"/>
    <w:tmpl w:val="74627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5A24D8"/>
    <w:multiLevelType w:val="hybridMultilevel"/>
    <w:tmpl w:val="613CB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D603A8"/>
    <w:multiLevelType w:val="hybridMultilevel"/>
    <w:tmpl w:val="03B6A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1"/>
  </w:num>
  <w:num w:numId="4">
    <w:abstractNumId w:val="9"/>
  </w:num>
  <w:num w:numId="5">
    <w:abstractNumId w:val="2"/>
  </w:num>
  <w:num w:numId="6">
    <w:abstractNumId w:val="5"/>
  </w:num>
  <w:num w:numId="7">
    <w:abstractNumId w:val="6"/>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C8"/>
    <w:rsid w:val="00005B56"/>
    <w:rsid w:val="00091009"/>
    <w:rsid w:val="00103748"/>
    <w:rsid w:val="001639EC"/>
    <w:rsid w:val="00177BD9"/>
    <w:rsid w:val="001A1081"/>
    <w:rsid w:val="001A4116"/>
    <w:rsid w:val="001D5570"/>
    <w:rsid w:val="00220D20"/>
    <w:rsid w:val="00355E02"/>
    <w:rsid w:val="003B7AF1"/>
    <w:rsid w:val="00400282"/>
    <w:rsid w:val="00434324"/>
    <w:rsid w:val="004C2911"/>
    <w:rsid w:val="00577600"/>
    <w:rsid w:val="005E7A5A"/>
    <w:rsid w:val="006C661D"/>
    <w:rsid w:val="00744A33"/>
    <w:rsid w:val="00774E3C"/>
    <w:rsid w:val="007775BE"/>
    <w:rsid w:val="00844634"/>
    <w:rsid w:val="008A2011"/>
    <w:rsid w:val="008B4CFC"/>
    <w:rsid w:val="008C5CA9"/>
    <w:rsid w:val="009A3881"/>
    <w:rsid w:val="009C3564"/>
    <w:rsid w:val="00A2344C"/>
    <w:rsid w:val="00AA7276"/>
    <w:rsid w:val="00AC3E0B"/>
    <w:rsid w:val="00B3233E"/>
    <w:rsid w:val="00B752AC"/>
    <w:rsid w:val="00BA34F3"/>
    <w:rsid w:val="00BE58DE"/>
    <w:rsid w:val="00C71159"/>
    <w:rsid w:val="00C8503C"/>
    <w:rsid w:val="00CB23D4"/>
    <w:rsid w:val="00CD00FC"/>
    <w:rsid w:val="00CF194F"/>
    <w:rsid w:val="00D44B05"/>
    <w:rsid w:val="00D62EC8"/>
    <w:rsid w:val="00DA6EC6"/>
    <w:rsid w:val="00DB7743"/>
    <w:rsid w:val="00DE0878"/>
    <w:rsid w:val="00E749C8"/>
    <w:rsid w:val="00F10487"/>
    <w:rsid w:val="00F75664"/>
    <w:rsid w:val="00F84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7B65825-36EB-4EF9-B93D-B0BAADA2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511"/>
    <w:rPr>
      <w:sz w:val="24"/>
      <w:szCs w:val="24"/>
    </w:rPr>
  </w:style>
  <w:style w:type="paragraph" w:styleId="Heading1">
    <w:name w:val="heading 1"/>
    <w:basedOn w:val="Normal"/>
    <w:next w:val="Normal"/>
    <w:qFormat/>
    <w:rsid w:val="00F84511"/>
    <w:pPr>
      <w:keepNext/>
      <w:outlineLvl w:val="0"/>
    </w:pPr>
    <w:rPr>
      <w:b/>
      <w:bCs/>
    </w:rPr>
  </w:style>
  <w:style w:type="paragraph" w:styleId="Heading2">
    <w:name w:val="heading 2"/>
    <w:basedOn w:val="Normal"/>
    <w:next w:val="Normal"/>
    <w:qFormat/>
    <w:rsid w:val="00F84511"/>
    <w:pPr>
      <w:keepNext/>
      <w:outlineLvl w:val="1"/>
    </w:pPr>
    <w:rPr>
      <w:b/>
      <w:bCs/>
      <w:u w:val="single"/>
    </w:rPr>
  </w:style>
  <w:style w:type="paragraph" w:styleId="Heading3">
    <w:name w:val="heading 3"/>
    <w:basedOn w:val="Normal"/>
    <w:next w:val="Normal"/>
    <w:qFormat/>
    <w:rsid w:val="00F84511"/>
    <w:pPr>
      <w:keepNext/>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84511"/>
    <w:pPr>
      <w:ind w:left="360"/>
    </w:pPr>
  </w:style>
  <w:style w:type="paragraph" w:styleId="BodyTextIndent2">
    <w:name w:val="Body Text Indent 2"/>
    <w:basedOn w:val="Normal"/>
    <w:rsid w:val="00F84511"/>
    <w:pPr>
      <w:ind w:left="360"/>
    </w:pPr>
    <w:rPr>
      <w:b/>
      <w:bCs/>
    </w:rPr>
  </w:style>
  <w:style w:type="paragraph" w:styleId="BodyText">
    <w:name w:val="Body Text"/>
    <w:basedOn w:val="Normal"/>
    <w:rsid w:val="00F84511"/>
    <w:rPr>
      <w:b/>
      <w:bCs/>
    </w:rPr>
  </w:style>
  <w:style w:type="paragraph" w:styleId="Footer">
    <w:name w:val="footer"/>
    <w:basedOn w:val="Normal"/>
    <w:rsid w:val="00F84511"/>
    <w:pPr>
      <w:tabs>
        <w:tab w:val="center" w:pos="4320"/>
        <w:tab w:val="right" w:pos="8640"/>
      </w:tabs>
    </w:pPr>
  </w:style>
  <w:style w:type="character" w:styleId="PageNumber">
    <w:name w:val="page number"/>
    <w:basedOn w:val="DefaultParagraphFont"/>
    <w:rsid w:val="00F84511"/>
  </w:style>
  <w:style w:type="paragraph" w:styleId="Header">
    <w:name w:val="header"/>
    <w:basedOn w:val="Normal"/>
    <w:rsid w:val="00F84511"/>
    <w:pPr>
      <w:tabs>
        <w:tab w:val="center" w:pos="4320"/>
        <w:tab w:val="right" w:pos="8640"/>
      </w:tabs>
    </w:pPr>
  </w:style>
  <w:style w:type="character" w:styleId="Hyperlink">
    <w:name w:val="Hyperlink"/>
    <w:basedOn w:val="DefaultParagraphFont"/>
    <w:rsid w:val="00B752AC"/>
    <w:rPr>
      <w:color w:val="0000FF"/>
      <w:u w:val="single"/>
    </w:rPr>
  </w:style>
  <w:style w:type="paragraph" w:styleId="BalloonText">
    <w:name w:val="Balloon Text"/>
    <w:basedOn w:val="Normal"/>
    <w:link w:val="BalloonTextChar"/>
    <w:rsid w:val="00B752AC"/>
    <w:rPr>
      <w:rFonts w:ascii="Tahoma" w:hAnsi="Tahoma" w:cs="Tahoma"/>
      <w:sz w:val="16"/>
      <w:szCs w:val="16"/>
    </w:rPr>
  </w:style>
  <w:style w:type="character" w:customStyle="1" w:styleId="BalloonTextChar">
    <w:name w:val="Balloon Text Char"/>
    <w:basedOn w:val="DefaultParagraphFont"/>
    <w:link w:val="BalloonText"/>
    <w:rsid w:val="00B752AC"/>
    <w:rPr>
      <w:rFonts w:ascii="Tahoma" w:hAnsi="Tahoma" w:cs="Tahoma"/>
      <w:sz w:val="16"/>
      <w:szCs w:val="16"/>
    </w:rPr>
  </w:style>
  <w:style w:type="character" w:styleId="CommentReference">
    <w:name w:val="annotation reference"/>
    <w:basedOn w:val="DefaultParagraphFont"/>
    <w:rsid w:val="00AA7276"/>
    <w:rPr>
      <w:sz w:val="16"/>
      <w:szCs w:val="16"/>
    </w:rPr>
  </w:style>
  <w:style w:type="paragraph" w:styleId="CommentText">
    <w:name w:val="annotation text"/>
    <w:basedOn w:val="Normal"/>
    <w:link w:val="CommentTextChar"/>
    <w:rsid w:val="00AA7276"/>
    <w:rPr>
      <w:sz w:val="20"/>
      <w:szCs w:val="20"/>
    </w:rPr>
  </w:style>
  <w:style w:type="character" w:customStyle="1" w:styleId="CommentTextChar">
    <w:name w:val="Comment Text Char"/>
    <w:basedOn w:val="DefaultParagraphFont"/>
    <w:link w:val="CommentText"/>
    <w:rsid w:val="00AA7276"/>
  </w:style>
  <w:style w:type="paragraph" w:styleId="CommentSubject">
    <w:name w:val="annotation subject"/>
    <w:basedOn w:val="CommentText"/>
    <w:next w:val="CommentText"/>
    <w:link w:val="CommentSubjectChar"/>
    <w:rsid w:val="00AA7276"/>
    <w:rPr>
      <w:b/>
      <w:bCs/>
    </w:rPr>
  </w:style>
  <w:style w:type="character" w:customStyle="1" w:styleId="CommentSubjectChar">
    <w:name w:val="Comment Subject Char"/>
    <w:basedOn w:val="CommentTextChar"/>
    <w:link w:val="CommentSubject"/>
    <w:rsid w:val="00AA72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CD637-1196-49EF-B4A5-A559380F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786</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Sample Mentor Visit Report - US</vt:lpstr>
    </vt:vector>
  </TitlesOfParts>
  <Company>UMass Lowell</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Mentor Visit Report - US</dc:title>
  <dc:creator>C. P. Carter</dc:creator>
  <cp:lastModifiedBy>Barb Higel</cp:lastModifiedBy>
  <cp:revision>3</cp:revision>
  <cp:lastPrinted>2010-02-01T19:17:00Z</cp:lastPrinted>
  <dcterms:created xsi:type="dcterms:W3CDTF">2018-10-03T14:16:00Z</dcterms:created>
  <dcterms:modified xsi:type="dcterms:W3CDTF">2018-10-03T14:16:00Z</dcterms:modified>
</cp:coreProperties>
</file>