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B061" w14:textId="41266BB4" w:rsidR="001668F8" w:rsidRDefault="001668F8" w:rsidP="00DF1B41">
      <w:pPr>
        <w:tabs>
          <w:tab w:val="left" w:pos="10710"/>
        </w:tabs>
        <w:ind w:left="7200" w:right="-630" w:firstLine="720"/>
        <w:jc w:val="center"/>
        <w:rPr>
          <w:rFonts w:ascii="Arial" w:hAnsi="Arial" w:cs="Arial"/>
          <w:b/>
          <w:smallCaps/>
          <w:color w:val="006E61" w:themeColor="tex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2B255A" wp14:editId="5E991C3B">
            <wp:simplePos x="0" y="0"/>
            <wp:positionH relativeFrom="margin">
              <wp:posOffset>5191125</wp:posOffset>
            </wp:positionH>
            <wp:positionV relativeFrom="page">
              <wp:posOffset>276225</wp:posOffset>
            </wp:positionV>
            <wp:extent cx="1371600" cy="409575"/>
            <wp:effectExtent l="0" t="0" r="0" b="9525"/>
            <wp:wrapTopAndBottom/>
            <wp:docPr id="26" name="Picture 26" descr="AACSB-logo-primary-color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ACSB-logo-primary-color-RGB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1D109" w14:textId="274DD8C3" w:rsidR="00957400" w:rsidRDefault="00715409" w:rsidP="00075577">
      <w:pPr>
        <w:ind w:left="-720" w:right="-630"/>
        <w:jc w:val="center"/>
        <w:rPr>
          <w:rFonts w:ascii="Arial" w:hAnsi="Arial" w:cs="Arial"/>
          <w:b/>
          <w:smallCaps/>
          <w:color w:val="006E61" w:themeColor="text2"/>
          <w:sz w:val="32"/>
          <w:szCs w:val="32"/>
        </w:rPr>
      </w:pPr>
      <w:r w:rsidRPr="00DF1B41">
        <w:rPr>
          <w:rFonts w:ascii="Arial" w:hAnsi="Arial" w:cs="Arial"/>
          <w:b/>
          <w:smallCaps/>
          <w:color w:val="006E61" w:themeColor="text2"/>
          <w:sz w:val="32"/>
          <w:szCs w:val="32"/>
        </w:rPr>
        <w:t>C</w:t>
      </w:r>
      <w:r w:rsidRPr="00075577">
        <w:rPr>
          <w:rFonts w:ascii="Arial" w:hAnsi="Arial" w:cs="Arial"/>
          <w:b/>
          <w:smallCaps/>
          <w:color w:val="006E61" w:themeColor="text2"/>
          <w:sz w:val="32"/>
          <w:szCs w:val="32"/>
        </w:rPr>
        <w:t>ontinuous Improvement Review Timeline</w:t>
      </w:r>
    </w:p>
    <w:p w14:paraId="708173E6" w14:textId="77777777" w:rsidR="008F535C" w:rsidRPr="008F535C" w:rsidRDefault="008F535C" w:rsidP="008F535C">
      <w:pPr>
        <w:ind w:right="-630"/>
        <w:rPr>
          <w:rFonts w:ascii="Arial" w:hAnsi="Arial" w:cs="Arial"/>
          <w:b/>
          <w:smallCaps/>
          <w:color w:val="006E61" w:themeColor="text2"/>
          <w:sz w:val="20"/>
          <w:szCs w:val="20"/>
        </w:rPr>
      </w:pPr>
    </w:p>
    <w:p w14:paraId="76F99151" w14:textId="0FE5B2BD" w:rsidR="008F535C" w:rsidRPr="008F535C" w:rsidRDefault="008F535C" w:rsidP="00075577">
      <w:pPr>
        <w:ind w:left="-720" w:right="-630"/>
        <w:jc w:val="center"/>
        <w:rPr>
          <w:rFonts w:ascii="Arial" w:hAnsi="Arial" w:cs="Arial"/>
          <w:b/>
          <w:smallCaps/>
          <w:color w:val="006E61" w:themeColor="text2"/>
        </w:rPr>
      </w:pPr>
      <w:r w:rsidRPr="008F535C">
        <w:rPr>
          <w:rFonts w:ascii="Arial" w:hAnsi="Arial" w:cs="Arial"/>
          <w:b/>
          <w:smallCaps/>
          <w:color w:val="006E61" w:themeColor="text2"/>
        </w:rPr>
        <w:t>202</w:t>
      </w:r>
      <w:r w:rsidR="00AB04D1">
        <w:rPr>
          <w:rFonts w:ascii="Arial" w:hAnsi="Arial" w:cs="Arial"/>
          <w:b/>
          <w:smallCaps/>
          <w:color w:val="006E61" w:themeColor="text2"/>
        </w:rPr>
        <w:t>8</w:t>
      </w:r>
      <w:r w:rsidRPr="008F535C">
        <w:rPr>
          <w:rFonts w:ascii="Arial" w:hAnsi="Arial" w:cs="Arial"/>
          <w:b/>
          <w:smallCaps/>
          <w:color w:val="006E61" w:themeColor="text2"/>
        </w:rPr>
        <w:t>-202</w:t>
      </w:r>
      <w:r w:rsidR="00AB04D1">
        <w:rPr>
          <w:rFonts w:ascii="Arial" w:hAnsi="Arial" w:cs="Arial"/>
          <w:b/>
          <w:smallCaps/>
          <w:color w:val="006E61" w:themeColor="text2"/>
        </w:rPr>
        <w:t>9</w:t>
      </w:r>
      <w:r w:rsidRPr="008F535C">
        <w:rPr>
          <w:rFonts w:ascii="Arial" w:hAnsi="Arial" w:cs="Arial"/>
          <w:b/>
          <w:smallCaps/>
          <w:color w:val="006E61" w:themeColor="text2"/>
        </w:rPr>
        <w:t xml:space="preserve"> Visit Year</w:t>
      </w:r>
    </w:p>
    <w:p w14:paraId="54ED757E" w14:textId="77777777" w:rsidR="00715409" w:rsidRPr="00075577" w:rsidRDefault="00715409" w:rsidP="00A4339B">
      <w:pPr>
        <w:jc w:val="center"/>
        <w:rPr>
          <w:rFonts w:ascii="Arial" w:hAnsi="Arial" w:cs="Arial"/>
          <w:sz w:val="8"/>
          <w:szCs w:val="8"/>
        </w:rPr>
      </w:pPr>
    </w:p>
    <w:p w14:paraId="430D43FF" w14:textId="77777777" w:rsidR="00862829" w:rsidRPr="00075577" w:rsidRDefault="00862829" w:rsidP="00A4339B">
      <w:pPr>
        <w:jc w:val="center"/>
        <w:rPr>
          <w:rFonts w:ascii="Arial" w:hAnsi="Arial" w:cs="Arial"/>
          <w:sz w:val="8"/>
          <w:szCs w:val="8"/>
        </w:rPr>
      </w:pPr>
    </w:p>
    <w:p w14:paraId="15257A3D" w14:textId="77777777" w:rsidR="00957400" w:rsidRPr="008F535C" w:rsidRDefault="00957400" w:rsidP="00651558">
      <w:pPr>
        <w:jc w:val="both"/>
        <w:rPr>
          <w:rFonts w:ascii="Arial" w:hAnsi="Arial" w:cs="Arial"/>
          <w:bCs/>
          <w:sz w:val="18"/>
          <w:szCs w:val="20"/>
        </w:rPr>
      </w:pPr>
      <w:r w:rsidRPr="008F535C">
        <w:rPr>
          <w:rFonts w:ascii="Arial" w:hAnsi="Arial" w:cs="Arial"/>
          <w:bCs/>
          <w:sz w:val="18"/>
          <w:szCs w:val="20"/>
        </w:rPr>
        <w:t>The</w:t>
      </w:r>
      <w:r w:rsidR="00D71381" w:rsidRPr="008F535C">
        <w:rPr>
          <w:rFonts w:ascii="Arial" w:hAnsi="Arial" w:cs="Arial"/>
          <w:bCs/>
          <w:sz w:val="18"/>
          <w:szCs w:val="20"/>
        </w:rPr>
        <w:t xml:space="preserve"> Continuous Improvement Review</w:t>
      </w:r>
      <w:r w:rsidRPr="008F535C">
        <w:rPr>
          <w:rFonts w:ascii="Arial" w:hAnsi="Arial" w:cs="Arial"/>
          <w:bCs/>
          <w:sz w:val="18"/>
          <w:szCs w:val="20"/>
        </w:rPr>
        <w:t xml:space="preserve"> Process is displayed </w:t>
      </w:r>
      <w:r w:rsidR="006556D1" w:rsidRPr="008F535C">
        <w:rPr>
          <w:rFonts w:ascii="Arial" w:hAnsi="Arial" w:cs="Arial"/>
          <w:bCs/>
          <w:sz w:val="18"/>
          <w:szCs w:val="20"/>
        </w:rPr>
        <w:t xml:space="preserve">below </w:t>
      </w:r>
      <w:r w:rsidRPr="008F535C">
        <w:rPr>
          <w:rFonts w:ascii="Arial" w:hAnsi="Arial" w:cs="Arial"/>
          <w:bCs/>
          <w:sz w:val="18"/>
          <w:szCs w:val="20"/>
        </w:rPr>
        <w:t>as a timeline.</w:t>
      </w:r>
      <w:r w:rsidR="00DB58C6" w:rsidRPr="008F535C">
        <w:rPr>
          <w:rFonts w:ascii="Arial" w:hAnsi="Arial" w:cs="Arial"/>
          <w:bCs/>
          <w:sz w:val="18"/>
          <w:szCs w:val="20"/>
        </w:rPr>
        <w:t xml:space="preserve"> </w:t>
      </w:r>
      <w:r w:rsidRPr="008F535C">
        <w:rPr>
          <w:rFonts w:ascii="Arial" w:hAnsi="Arial" w:cs="Arial"/>
          <w:bCs/>
          <w:sz w:val="18"/>
          <w:szCs w:val="20"/>
        </w:rPr>
        <w:t xml:space="preserve">This five-year review cycle remains constant throughout the cycle of consecutive </w:t>
      </w:r>
      <w:r w:rsidR="00913BBB" w:rsidRPr="008F535C">
        <w:rPr>
          <w:rFonts w:ascii="Arial" w:hAnsi="Arial" w:cs="Arial"/>
          <w:bCs/>
          <w:sz w:val="18"/>
          <w:szCs w:val="20"/>
        </w:rPr>
        <w:t>review</w:t>
      </w:r>
      <w:r w:rsidRPr="008F535C">
        <w:rPr>
          <w:rFonts w:ascii="Arial" w:hAnsi="Arial" w:cs="Arial"/>
          <w:bCs/>
          <w:sz w:val="18"/>
          <w:szCs w:val="20"/>
        </w:rPr>
        <w:t xml:space="preserve"> for a</w:t>
      </w:r>
      <w:r w:rsidR="00D71381" w:rsidRPr="008F535C">
        <w:rPr>
          <w:rFonts w:ascii="Arial" w:hAnsi="Arial" w:cs="Arial"/>
          <w:bCs/>
          <w:sz w:val="18"/>
          <w:szCs w:val="20"/>
        </w:rPr>
        <w:t xml:space="preserve"> </w:t>
      </w:r>
      <w:r w:rsidR="007654AA" w:rsidRPr="008F535C">
        <w:rPr>
          <w:rFonts w:ascii="Arial" w:hAnsi="Arial" w:cs="Arial"/>
          <w:bCs/>
          <w:sz w:val="18"/>
          <w:szCs w:val="20"/>
        </w:rPr>
        <w:t>school</w:t>
      </w:r>
      <w:r w:rsidRPr="008F535C">
        <w:rPr>
          <w:rFonts w:ascii="Arial" w:hAnsi="Arial" w:cs="Arial"/>
          <w:bCs/>
          <w:sz w:val="18"/>
          <w:szCs w:val="20"/>
        </w:rPr>
        <w:t>, irrespective of whether a</w:t>
      </w:r>
      <w:r w:rsidR="00D71381" w:rsidRPr="008F535C">
        <w:rPr>
          <w:rFonts w:ascii="Arial" w:hAnsi="Arial" w:cs="Arial"/>
          <w:bCs/>
          <w:sz w:val="18"/>
          <w:szCs w:val="20"/>
        </w:rPr>
        <w:t xml:space="preserve"> </w:t>
      </w:r>
      <w:r w:rsidR="00253226" w:rsidRPr="008F535C">
        <w:rPr>
          <w:rFonts w:ascii="Arial" w:hAnsi="Arial" w:cs="Arial"/>
          <w:bCs/>
          <w:sz w:val="18"/>
          <w:szCs w:val="20"/>
        </w:rPr>
        <w:t>continuous improvement review 2</w:t>
      </w:r>
      <w:r w:rsidRPr="008F535C">
        <w:rPr>
          <w:rFonts w:ascii="Arial" w:hAnsi="Arial" w:cs="Arial"/>
          <w:bCs/>
          <w:sz w:val="18"/>
          <w:szCs w:val="20"/>
        </w:rPr>
        <w:t xml:space="preserve"> is required.</w:t>
      </w:r>
      <w:r w:rsidR="00DB58C6" w:rsidRPr="008F535C">
        <w:rPr>
          <w:rFonts w:ascii="Arial" w:hAnsi="Arial" w:cs="Arial"/>
          <w:bCs/>
          <w:sz w:val="18"/>
          <w:szCs w:val="20"/>
        </w:rPr>
        <w:t xml:space="preserve"> </w:t>
      </w:r>
      <w:r w:rsidRPr="008F535C">
        <w:rPr>
          <w:rFonts w:ascii="Arial" w:hAnsi="Arial" w:cs="Arial"/>
          <w:bCs/>
          <w:sz w:val="18"/>
          <w:szCs w:val="20"/>
        </w:rPr>
        <w:t xml:space="preserve">Therefore, Year 1 represents the academic year immediately following an on-site review, regardless of </w:t>
      </w:r>
      <w:proofErr w:type="gramStart"/>
      <w:r w:rsidRPr="008F535C">
        <w:rPr>
          <w:rFonts w:ascii="Arial" w:hAnsi="Arial" w:cs="Arial"/>
          <w:bCs/>
          <w:sz w:val="18"/>
          <w:szCs w:val="20"/>
        </w:rPr>
        <w:t>whether or not</w:t>
      </w:r>
      <w:proofErr w:type="gramEnd"/>
      <w:r w:rsidRPr="008F535C">
        <w:rPr>
          <w:rFonts w:ascii="Arial" w:hAnsi="Arial" w:cs="Arial"/>
          <w:bCs/>
          <w:sz w:val="18"/>
          <w:szCs w:val="20"/>
        </w:rPr>
        <w:t xml:space="preserve"> an accreditation decision has been made.</w:t>
      </w:r>
      <w:r w:rsidR="00DB58C6" w:rsidRPr="008F535C">
        <w:rPr>
          <w:rFonts w:ascii="Arial" w:hAnsi="Arial" w:cs="Arial"/>
          <w:bCs/>
          <w:sz w:val="18"/>
          <w:szCs w:val="20"/>
        </w:rPr>
        <w:t xml:space="preserve"> </w:t>
      </w:r>
      <w:r w:rsidRPr="008F535C">
        <w:rPr>
          <w:rFonts w:ascii="Arial" w:hAnsi="Arial" w:cs="Arial"/>
          <w:bCs/>
          <w:sz w:val="18"/>
          <w:szCs w:val="20"/>
        </w:rPr>
        <w:t>The next visit will occur in Year 5.</w:t>
      </w:r>
      <w:r w:rsidR="00DB58C6" w:rsidRPr="008F535C">
        <w:rPr>
          <w:rFonts w:ascii="Arial" w:hAnsi="Arial" w:cs="Arial"/>
          <w:bCs/>
          <w:sz w:val="18"/>
          <w:szCs w:val="20"/>
        </w:rPr>
        <w:t xml:space="preserve"> </w:t>
      </w:r>
      <w:r w:rsidRPr="008F535C">
        <w:rPr>
          <w:rFonts w:ascii="Arial" w:hAnsi="Arial" w:cs="Arial"/>
          <w:bCs/>
          <w:sz w:val="18"/>
          <w:szCs w:val="20"/>
        </w:rPr>
        <w:t xml:space="preserve">The </w:t>
      </w:r>
      <w:r w:rsidR="00CB2C55" w:rsidRPr="008F535C">
        <w:rPr>
          <w:rFonts w:ascii="Arial" w:hAnsi="Arial" w:cs="Arial"/>
          <w:bCs/>
          <w:sz w:val="18"/>
          <w:szCs w:val="20"/>
        </w:rPr>
        <w:t>Continuous Improvement Review Committee</w:t>
      </w:r>
      <w:r w:rsidRPr="008F535C">
        <w:rPr>
          <w:rFonts w:ascii="Arial" w:hAnsi="Arial" w:cs="Arial"/>
          <w:bCs/>
          <w:sz w:val="18"/>
          <w:szCs w:val="20"/>
        </w:rPr>
        <w:t xml:space="preserve"> is responsible for oversight of the</w:t>
      </w:r>
      <w:r w:rsidR="00D71381" w:rsidRPr="008F535C">
        <w:rPr>
          <w:rFonts w:ascii="Arial" w:hAnsi="Arial" w:cs="Arial"/>
          <w:bCs/>
          <w:sz w:val="18"/>
          <w:szCs w:val="20"/>
        </w:rPr>
        <w:t xml:space="preserve"> Continuous Improvement Review</w:t>
      </w:r>
      <w:r w:rsidR="002E6784" w:rsidRPr="008F535C">
        <w:rPr>
          <w:rFonts w:ascii="Arial" w:hAnsi="Arial" w:cs="Arial"/>
          <w:bCs/>
          <w:sz w:val="18"/>
          <w:szCs w:val="20"/>
        </w:rPr>
        <w:t xml:space="preserve"> process for </w:t>
      </w:r>
      <w:r w:rsidR="00913BBB" w:rsidRPr="008F535C">
        <w:rPr>
          <w:rFonts w:ascii="Arial" w:hAnsi="Arial" w:cs="Arial"/>
          <w:bCs/>
          <w:sz w:val="18"/>
          <w:szCs w:val="20"/>
        </w:rPr>
        <w:t>review</w:t>
      </w:r>
      <w:r w:rsidRPr="008F535C">
        <w:rPr>
          <w:rFonts w:ascii="Arial" w:hAnsi="Arial" w:cs="Arial"/>
          <w:bCs/>
          <w:sz w:val="18"/>
          <w:szCs w:val="20"/>
        </w:rPr>
        <w:t>.</w:t>
      </w:r>
      <w:r w:rsidR="00DB58C6" w:rsidRPr="008F535C">
        <w:rPr>
          <w:rFonts w:ascii="Arial" w:hAnsi="Arial" w:cs="Arial"/>
          <w:bCs/>
          <w:sz w:val="18"/>
          <w:szCs w:val="20"/>
        </w:rPr>
        <w:t xml:space="preserve"> </w:t>
      </w:r>
    </w:p>
    <w:p w14:paraId="2C9AA254" w14:textId="77777777" w:rsidR="00862829" w:rsidRDefault="0086282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800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40"/>
        <w:gridCol w:w="2139"/>
        <w:gridCol w:w="2179"/>
        <w:gridCol w:w="2173"/>
        <w:gridCol w:w="2169"/>
      </w:tblGrid>
      <w:tr w:rsidR="00E93CC9" w:rsidRPr="00403556" w14:paraId="0513D8B9" w14:textId="77777777" w:rsidTr="3D5C3FDC">
        <w:trPr>
          <w:jc w:val="center"/>
        </w:trPr>
        <w:tc>
          <w:tcPr>
            <w:tcW w:w="2140" w:type="dxa"/>
            <w:shd w:val="clear" w:color="auto" w:fill="E75000" w:themeFill="accent3"/>
          </w:tcPr>
          <w:p w14:paraId="3EF149E8" w14:textId="08AB9045" w:rsidR="00E93CC9" w:rsidRPr="00075577" w:rsidRDefault="00E93CC9" w:rsidP="00AB054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 1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(July 1</w:t>
            </w:r>
            <w:r w:rsidR="008F53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20</w:t>
            </w:r>
            <w:r w:rsidR="006E039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  <w:r w:rsidR="00AB0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June 30</w:t>
            </w:r>
            <w:r w:rsidR="008F53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20</w:t>
            </w:r>
            <w:r w:rsidR="006E039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  <w:r w:rsidR="00AB0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39" w:type="dxa"/>
            <w:shd w:val="clear" w:color="auto" w:fill="E75000" w:themeFill="accent3"/>
          </w:tcPr>
          <w:p w14:paraId="49AD1269" w14:textId="487151D8" w:rsidR="00E93CC9" w:rsidRPr="00075577" w:rsidRDefault="00E93CC9" w:rsidP="00AB054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 2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 xml:space="preserve"> (July 1</w:t>
            </w:r>
            <w:r w:rsidR="008F53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20</w:t>
            </w:r>
            <w:r w:rsidR="006E039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  <w:r w:rsidR="00AB0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June 30</w:t>
            </w:r>
            <w:r w:rsidR="008F53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AB0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79" w:type="dxa"/>
            <w:shd w:val="clear" w:color="auto" w:fill="E75000" w:themeFill="accent3"/>
          </w:tcPr>
          <w:p w14:paraId="0FA82AC7" w14:textId="44DB3F32" w:rsidR="00E93CC9" w:rsidRPr="00075577" w:rsidRDefault="00E93CC9" w:rsidP="00AB054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 3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 xml:space="preserve"> (July 1</w:t>
            </w:r>
            <w:r w:rsidR="008F53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AB0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June 30</w:t>
            </w:r>
            <w:r w:rsidR="008F53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AB0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73" w:type="dxa"/>
            <w:shd w:val="clear" w:color="auto" w:fill="E75000" w:themeFill="accent3"/>
          </w:tcPr>
          <w:p w14:paraId="417DC599" w14:textId="771D3859" w:rsidR="00E93CC9" w:rsidRPr="00075577" w:rsidRDefault="00E93CC9" w:rsidP="00AB054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 4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 xml:space="preserve"> (July 1</w:t>
            </w:r>
            <w:r w:rsidR="008F53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AB0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June 30</w:t>
            </w:r>
            <w:r w:rsidR="008F53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AB0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69" w:type="dxa"/>
            <w:shd w:val="clear" w:color="auto" w:fill="E75000" w:themeFill="accent3"/>
          </w:tcPr>
          <w:p w14:paraId="111245FE" w14:textId="0481FF45" w:rsidR="00E93CC9" w:rsidRPr="00075577" w:rsidRDefault="00E93CC9" w:rsidP="00AB054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 5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 xml:space="preserve"> (July 1</w:t>
            </w:r>
            <w:r w:rsidR="008F53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AB0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June 30</w:t>
            </w:r>
            <w:r w:rsidR="008F53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AB04D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</w:t>
            </w:r>
            <w:r w:rsidRPr="000755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E93CC9" w:rsidRPr="00403556" w14:paraId="4AAA972E" w14:textId="77777777" w:rsidTr="3D5C3FDC">
        <w:trPr>
          <w:trHeight w:val="756"/>
          <w:jc w:val="center"/>
        </w:trPr>
        <w:tc>
          <w:tcPr>
            <w:tcW w:w="2140" w:type="dxa"/>
            <w:tcBorders>
              <w:bottom w:val="single" w:sz="18" w:space="0" w:color="FFFFFF" w:themeColor="background1"/>
            </w:tcBorders>
            <w:shd w:val="clear" w:color="auto" w:fill="DBD9D6" w:themeFill="background2"/>
          </w:tcPr>
          <w:p w14:paraId="656DF491" w14:textId="77777777" w:rsidR="00E93CC9" w:rsidRPr="006556D1" w:rsidRDefault="00E93CC9" w:rsidP="008B52CB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6556D1">
              <w:rPr>
                <w:rFonts w:ascii="Arial" w:hAnsi="Arial" w:cs="Arial"/>
                <w:sz w:val="18"/>
                <w:szCs w:val="18"/>
              </w:rPr>
              <w:t>Review and Refine Strategic Management Plan</w:t>
            </w:r>
          </w:p>
        </w:tc>
        <w:tc>
          <w:tcPr>
            <w:tcW w:w="2139" w:type="dxa"/>
            <w:tcBorders>
              <w:bottom w:val="single" w:sz="18" w:space="0" w:color="FFFFFF" w:themeColor="background1"/>
            </w:tcBorders>
            <w:shd w:val="clear" w:color="auto" w:fill="DBD9D6" w:themeFill="background2"/>
          </w:tcPr>
          <w:p w14:paraId="464C43D4" w14:textId="77777777" w:rsidR="00E93CC9" w:rsidRPr="006556D1" w:rsidRDefault="00E93CC9" w:rsidP="008B52CB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6556D1">
              <w:rPr>
                <w:rFonts w:ascii="Arial" w:hAnsi="Arial" w:cs="Arial"/>
                <w:sz w:val="18"/>
                <w:szCs w:val="18"/>
              </w:rPr>
              <w:t>Review and Refine Strategic Management Plan</w:t>
            </w:r>
          </w:p>
        </w:tc>
        <w:tc>
          <w:tcPr>
            <w:tcW w:w="2179" w:type="dxa"/>
            <w:tcBorders>
              <w:bottom w:val="single" w:sz="18" w:space="0" w:color="FFFFFF" w:themeColor="background1"/>
            </w:tcBorders>
            <w:shd w:val="clear" w:color="auto" w:fill="DBD9D6" w:themeFill="background2"/>
          </w:tcPr>
          <w:p w14:paraId="76D2FE18" w14:textId="77777777" w:rsidR="00E93CC9" w:rsidRPr="006556D1" w:rsidRDefault="00E93CC9" w:rsidP="008B52CB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6556D1">
              <w:rPr>
                <w:rFonts w:ascii="Arial" w:hAnsi="Arial" w:cs="Arial"/>
                <w:sz w:val="18"/>
                <w:szCs w:val="18"/>
              </w:rPr>
              <w:t>Review and Refine Strategic Management Plan</w:t>
            </w:r>
          </w:p>
        </w:tc>
        <w:tc>
          <w:tcPr>
            <w:tcW w:w="2173" w:type="dxa"/>
            <w:tcBorders>
              <w:bottom w:val="single" w:sz="18" w:space="0" w:color="FFFFFF" w:themeColor="background1"/>
            </w:tcBorders>
            <w:shd w:val="clear" w:color="auto" w:fill="DBD9D6" w:themeFill="background2"/>
          </w:tcPr>
          <w:p w14:paraId="176AD602" w14:textId="77777777" w:rsidR="00E93CC9" w:rsidRPr="006556D1" w:rsidRDefault="00E93CC9" w:rsidP="008B52CB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6556D1">
              <w:rPr>
                <w:rFonts w:ascii="Arial" w:hAnsi="Arial" w:cs="Arial"/>
                <w:sz w:val="18"/>
                <w:szCs w:val="18"/>
              </w:rPr>
              <w:t>Review and Refine Strategic Management Plan</w:t>
            </w:r>
          </w:p>
        </w:tc>
        <w:tc>
          <w:tcPr>
            <w:tcW w:w="2169" w:type="dxa"/>
            <w:tcBorders>
              <w:bottom w:val="single" w:sz="18" w:space="0" w:color="FFFFFF" w:themeColor="background1"/>
            </w:tcBorders>
            <w:shd w:val="clear" w:color="auto" w:fill="DBD9D6" w:themeFill="background2"/>
          </w:tcPr>
          <w:p w14:paraId="78A0C4CB" w14:textId="77777777" w:rsidR="00E93CC9" w:rsidRPr="006556D1" w:rsidRDefault="00E93CC9" w:rsidP="008B52CB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6556D1">
              <w:rPr>
                <w:rFonts w:ascii="Arial" w:hAnsi="Arial" w:cs="Arial"/>
                <w:sz w:val="18"/>
                <w:szCs w:val="18"/>
              </w:rPr>
              <w:t>Review and Refine Strategic Management Plan</w:t>
            </w:r>
          </w:p>
        </w:tc>
      </w:tr>
      <w:tr w:rsidR="00E93CC9" w:rsidRPr="00403556" w14:paraId="2601CACB" w14:textId="77777777" w:rsidTr="3D5C3FDC">
        <w:trPr>
          <w:trHeight w:val="2754"/>
          <w:jc w:val="center"/>
        </w:trPr>
        <w:tc>
          <w:tcPr>
            <w:tcW w:w="21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3EF22BCC" w14:textId="77777777" w:rsidR="002D4D3A" w:rsidRDefault="002D4D3A" w:rsidP="002D4D3A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6556D1">
              <w:rPr>
                <w:rFonts w:ascii="Arial" w:hAnsi="Arial" w:cs="Arial"/>
                <w:sz w:val="18"/>
                <w:szCs w:val="18"/>
              </w:rPr>
              <w:t xml:space="preserve">Complete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hyperlink r:id="rId12" w:history="1">
              <w:r w:rsidRPr="00BD5F14">
                <w:rPr>
                  <w:rStyle w:val="Hyperlink"/>
                  <w:rFonts w:ascii="Arial" w:hAnsi="Arial" w:cs="Arial"/>
                  <w:sz w:val="18"/>
                  <w:szCs w:val="18"/>
                </w:rPr>
                <w:t>Required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Business School Questionnaire (BSQ) Modules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556D1"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6556D1">
              <w:rPr>
                <w:rFonts w:ascii="Arial" w:hAnsi="Arial" w:cs="Arial"/>
                <w:sz w:val="18"/>
                <w:szCs w:val="18"/>
              </w:rPr>
              <w:t xml:space="preserve"> prior academic year</w:t>
            </w:r>
          </w:p>
          <w:p w14:paraId="0D76AE3C" w14:textId="3AA300BE" w:rsidR="00E93CC9" w:rsidRPr="006556D1" w:rsidRDefault="00862829" w:rsidP="00862829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Schools with Supplemental Accounting Accreditation should also complete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Accounting Program Questionnaire</w:t>
            </w:r>
          </w:p>
        </w:tc>
        <w:tc>
          <w:tcPr>
            <w:tcW w:w="21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5E772DDC" w14:textId="77777777" w:rsidR="002D4D3A" w:rsidRDefault="002D4D3A" w:rsidP="002D4D3A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Complete the </w:t>
            </w:r>
            <w:hyperlink r:id="rId13">
              <w:r w:rsidRPr="3D5C3FDC">
                <w:rPr>
                  <w:rStyle w:val="Hyperlink"/>
                  <w:rFonts w:ascii="Arial" w:hAnsi="Arial" w:cs="Arial"/>
                  <w:sz w:val="18"/>
                  <w:szCs w:val="18"/>
                </w:rPr>
                <w:t>Required</w:t>
              </w:r>
            </w:hyperlink>
            <w:r w:rsidRPr="3D5C3FDC">
              <w:rPr>
                <w:rFonts w:ascii="Arial" w:hAnsi="Arial" w:cs="Arial"/>
                <w:sz w:val="18"/>
                <w:szCs w:val="18"/>
              </w:rPr>
              <w:t xml:space="preserve"> Business School Questionnaire (BSQ) Modules</w:t>
            </w:r>
            <w:r w:rsidRPr="3D5C3F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3D5C3FDC">
              <w:rPr>
                <w:rFonts w:ascii="Arial" w:hAnsi="Arial" w:cs="Arial"/>
                <w:sz w:val="18"/>
                <w:szCs w:val="18"/>
              </w:rPr>
              <w:t>for the prior academic year</w:t>
            </w:r>
          </w:p>
          <w:p w14:paraId="1D06E434" w14:textId="786E4D9D" w:rsidR="00E93CC9" w:rsidRPr="006556D1" w:rsidRDefault="00862829" w:rsidP="00862829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Schools with Supplemental Accounting Accreditation should also complete the </w:t>
            </w:r>
            <w:r w:rsidRPr="3D5C3FDC">
              <w:rPr>
                <w:rFonts w:ascii="Arial" w:hAnsi="Arial" w:cs="Arial"/>
                <w:i/>
                <w:iCs/>
                <w:sz w:val="18"/>
                <w:szCs w:val="18"/>
              </w:rPr>
              <w:t>Accounting Program Questionnaire</w:t>
            </w:r>
          </w:p>
        </w:tc>
        <w:tc>
          <w:tcPr>
            <w:tcW w:w="217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0A4578AE" w14:textId="77777777" w:rsidR="002D4D3A" w:rsidRDefault="002D4D3A" w:rsidP="002D4D3A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Complete the </w:t>
            </w:r>
            <w:hyperlink r:id="rId14">
              <w:r w:rsidRPr="3D5C3FDC">
                <w:rPr>
                  <w:rStyle w:val="Hyperlink"/>
                  <w:rFonts w:ascii="Arial" w:hAnsi="Arial" w:cs="Arial"/>
                  <w:sz w:val="18"/>
                  <w:szCs w:val="18"/>
                </w:rPr>
                <w:t>Required</w:t>
              </w:r>
            </w:hyperlink>
            <w:r w:rsidRPr="3D5C3FDC">
              <w:rPr>
                <w:rFonts w:ascii="Arial" w:hAnsi="Arial" w:cs="Arial"/>
                <w:sz w:val="18"/>
                <w:szCs w:val="18"/>
              </w:rPr>
              <w:t xml:space="preserve"> Business School Questionnaire (BSQ) Modules</w:t>
            </w:r>
            <w:r w:rsidRPr="3D5C3F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3D5C3FDC">
              <w:rPr>
                <w:rFonts w:ascii="Arial" w:hAnsi="Arial" w:cs="Arial"/>
                <w:sz w:val="18"/>
                <w:szCs w:val="18"/>
              </w:rPr>
              <w:t>for the prior academic year</w:t>
            </w:r>
          </w:p>
          <w:p w14:paraId="51C78DB4" w14:textId="5E7BA177" w:rsidR="00862829" w:rsidRDefault="00862829" w:rsidP="00862829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2C6D5F68" w14:textId="6F9409C1" w:rsidR="00E93CC9" w:rsidRPr="006556D1" w:rsidRDefault="00862829" w:rsidP="00862829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Schools with Supplemental Accounting Accreditation should also complete the </w:t>
            </w:r>
            <w:r w:rsidRPr="3D5C3FDC">
              <w:rPr>
                <w:rFonts w:ascii="Arial" w:hAnsi="Arial" w:cs="Arial"/>
                <w:i/>
                <w:iCs/>
                <w:sz w:val="18"/>
                <w:szCs w:val="18"/>
              </w:rPr>
              <w:t>Accounting Program Questionnaire</w:t>
            </w:r>
          </w:p>
        </w:tc>
        <w:tc>
          <w:tcPr>
            <w:tcW w:w="217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7AAE231B" w14:textId="77777777" w:rsidR="002D4D3A" w:rsidRDefault="002D4D3A" w:rsidP="002D4D3A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Complete the </w:t>
            </w:r>
            <w:hyperlink r:id="rId15">
              <w:r w:rsidRPr="3D5C3FDC">
                <w:rPr>
                  <w:rStyle w:val="Hyperlink"/>
                  <w:rFonts w:ascii="Arial" w:hAnsi="Arial" w:cs="Arial"/>
                  <w:sz w:val="18"/>
                  <w:szCs w:val="18"/>
                </w:rPr>
                <w:t>Required</w:t>
              </w:r>
            </w:hyperlink>
            <w:r w:rsidRPr="3D5C3FDC">
              <w:rPr>
                <w:rFonts w:ascii="Arial" w:hAnsi="Arial" w:cs="Arial"/>
                <w:sz w:val="18"/>
                <w:szCs w:val="18"/>
              </w:rPr>
              <w:t xml:space="preserve"> Business School Questionnaire (BSQ) Modules</w:t>
            </w:r>
            <w:r w:rsidRPr="3D5C3F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3D5C3FDC">
              <w:rPr>
                <w:rFonts w:ascii="Arial" w:hAnsi="Arial" w:cs="Arial"/>
                <w:sz w:val="18"/>
                <w:szCs w:val="18"/>
              </w:rPr>
              <w:t>for the prior academic year</w:t>
            </w:r>
          </w:p>
          <w:p w14:paraId="4E0B0FE1" w14:textId="300B8FDE" w:rsidR="00862829" w:rsidRDefault="00862829" w:rsidP="00862829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7AF1DB50" w14:textId="196D19EF" w:rsidR="00E93CC9" w:rsidRPr="006556D1" w:rsidRDefault="00862829" w:rsidP="00862829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Schools with Supplemental Accounting Accreditation should also complete the </w:t>
            </w:r>
            <w:r w:rsidRPr="3D5C3FDC">
              <w:rPr>
                <w:rFonts w:ascii="Arial" w:hAnsi="Arial" w:cs="Arial"/>
                <w:i/>
                <w:iCs/>
                <w:sz w:val="18"/>
                <w:szCs w:val="18"/>
              </w:rPr>
              <w:t>Accounting Program Questionnaire</w:t>
            </w:r>
          </w:p>
        </w:tc>
        <w:tc>
          <w:tcPr>
            <w:tcW w:w="21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60B8C337" w14:textId="77777777" w:rsidR="002D4D3A" w:rsidRDefault="002D4D3A" w:rsidP="002D4D3A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Complete the </w:t>
            </w:r>
            <w:hyperlink r:id="rId16">
              <w:r w:rsidRPr="3D5C3FDC">
                <w:rPr>
                  <w:rStyle w:val="Hyperlink"/>
                  <w:rFonts w:ascii="Arial" w:hAnsi="Arial" w:cs="Arial"/>
                  <w:sz w:val="18"/>
                  <w:szCs w:val="18"/>
                </w:rPr>
                <w:t>Required</w:t>
              </w:r>
            </w:hyperlink>
            <w:r w:rsidRPr="3D5C3FDC">
              <w:rPr>
                <w:rFonts w:ascii="Arial" w:hAnsi="Arial" w:cs="Arial"/>
                <w:sz w:val="18"/>
                <w:szCs w:val="18"/>
              </w:rPr>
              <w:t xml:space="preserve"> Business School Questionnaire (BSQ) Modules</w:t>
            </w:r>
            <w:r w:rsidRPr="3D5C3F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3D5C3FDC">
              <w:rPr>
                <w:rFonts w:ascii="Arial" w:hAnsi="Arial" w:cs="Arial"/>
                <w:sz w:val="18"/>
                <w:szCs w:val="18"/>
              </w:rPr>
              <w:t>for the prior academic year</w:t>
            </w:r>
          </w:p>
          <w:p w14:paraId="5B9E4BEA" w14:textId="0034A9F5" w:rsidR="00862829" w:rsidRDefault="00862829" w:rsidP="00862829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2B7797A8" w14:textId="62D33C47" w:rsidR="00E93CC9" w:rsidRPr="006556D1" w:rsidRDefault="00862829" w:rsidP="00862829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Schools with Supplemental Accounting Accreditation should also complete the </w:t>
            </w:r>
            <w:r w:rsidRPr="3D5C3FDC">
              <w:rPr>
                <w:rFonts w:ascii="Arial" w:hAnsi="Arial" w:cs="Arial"/>
                <w:i/>
                <w:iCs/>
                <w:sz w:val="18"/>
                <w:szCs w:val="18"/>
              </w:rPr>
              <w:t>Accounting Program Questionnaire</w:t>
            </w:r>
          </w:p>
        </w:tc>
      </w:tr>
      <w:tr w:rsidR="00A7403D" w:rsidRPr="00403556" w14:paraId="616B1773" w14:textId="77777777" w:rsidTr="3D5C3FDC">
        <w:trPr>
          <w:trHeight w:val="1935"/>
          <w:jc w:val="center"/>
        </w:trPr>
        <w:tc>
          <w:tcPr>
            <w:tcW w:w="21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9D6" w:themeFill="background2"/>
          </w:tcPr>
          <w:p w14:paraId="2DCDA184" w14:textId="77777777" w:rsidR="00A7403D" w:rsidRPr="00403556" w:rsidRDefault="00A7403D" w:rsidP="00A740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9D6" w:themeFill="background2"/>
          </w:tcPr>
          <w:p w14:paraId="44BA21A4" w14:textId="77777777" w:rsidR="00A7403D" w:rsidRPr="00403556" w:rsidRDefault="00A7403D" w:rsidP="00A740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9D6" w:themeFill="background2"/>
          </w:tcPr>
          <w:p w14:paraId="33A95E81" w14:textId="2FB640D9" w:rsidR="00A7403D" w:rsidRPr="001D408E" w:rsidRDefault="00A7403D" w:rsidP="00A7403D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color w:val="000000"/>
                <w:sz w:val="18"/>
                <w:szCs w:val="18"/>
              </w:rPr>
              <w:t>July 1</w:t>
            </w:r>
            <w:r w:rsidR="008F535C" w:rsidRPr="3D5C3FDC">
              <w:rPr>
                <w:rFonts w:ascii="Arial" w:hAnsi="Arial" w:cs="Arial"/>
                <w:color w:val="000000"/>
                <w:sz w:val="18"/>
                <w:szCs w:val="18"/>
              </w:rPr>
              <w:t>, 202</w:t>
            </w:r>
            <w:r w:rsidR="002C44E2" w:rsidRPr="3D5C3FD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3D5C3FDC">
              <w:rPr>
                <w:rFonts w:ascii="Arial" w:hAnsi="Arial" w:cs="Arial"/>
                <w:color w:val="000000"/>
                <w:sz w:val="18"/>
                <w:szCs w:val="18"/>
              </w:rPr>
              <w:t xml:space="preserve"> two years prior to visit year -</w:t>
            </w:r>
            <w:r w:rsidRPr="3D5C3FDC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3D5C3FDC">
              <w:rPr>
                <w:rFonts w:ascii="Arial" w:hAnsi="Arial" w:cs="Arial"/>
                <w:sz w:val="18"/>
                <w:szCs w:val="18"/>
              </w:rPr>
              <w:t>Submit Continuous Improvement Review Application(s)</w:t>
            </w:r>
          </w:p>
        </w:tc>
        <w:tc>
          <w:tcPr>
            <w:tcW w:w="217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9D6" w:themeFill="background2"/>
          </w:tcPr>
          <w:p w14:paraId="039B511C" w14:textId="5A5FD426" w:rsidR="00A7403D" w:rsidRPr="001D408E" w:rsidRDefault="00A7403D" w:rsidP="00A7403D">
            <w:pPr>
              <w:numPr>
                <w:ilvl w:val="0"/>
                <w:numId w:val="31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Peer Review Team and visit date confirmed. </w:t>
            </w:r>
          </w:p>
        </w:tc>
        <w:tc>
          <w:tcPr>
            <w:tcW w:w="21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9D6" w:themeFill="background2"/>
          </w:tcPr>
          <w:p w14:paraId="78835544" w14:textId="295A92CB" w:rsidR="00A7403D" w:rsidRPr="001D408E" w:rsidRDefault="00A7403D" w:rsidP="00A7403D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Distribute Completed Continuous Improvement </w:t>
            </w:r>
            <w:r w:rsidR="006C3C57" w:rsidRPr="3D5C3FDC">
              <w:rPr>
                <w:rFonts w:ascii="Arial" w:hAnsi="Arial" w:cs="Arial"/>
                <w:sz w:val="18"/>
                <w:szCs w:val="18"/>
              </w:rPr>
              <w:t>Review</w:t>
            </w:r>
            <w:r w:rsidRPr="3D5C3FDC">
              <w:rPr>
                <w:rFonts w:ascii="Arial" w:hAnsi="Arial" w:cs="Arial"/>
                <w:sz w:val="18"/>
                <w:szCs w:val="18"/>
              </w:rPr>
              <w:t xml:space="preserve"> Report(s) 60 Days Prior to Visit</w:t>
            </w:r>
          </w:p>
        </w:tc>
      </w:tr>
      <w:tr w:rsidR="00A7403D" w:rsidRPr="00403556" w14:paraId="37C2163D" w14:textId="77777777" w:rsidTr="3D5C3FDC">
        <w:trPr>
          <w:trHeight w:val="945"/>
          <w:jc w:val="center"/>
        </w:trPr>
        <w:tc>
          <w:tcPr>
            <w:tcW w:w="21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646F7975" w14:textId="77777777" w:rsidR="00A7403D" w:rsidRPr="00403556" w:rsidRDefault="00A7403D" w:rsidP="00A740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23935FD0" w14:textId="77777777" w:rsidR="00A7403D" w:rsidRPr="00403556" w:rsidRDefault="00A7403D" w:rsidP="00A740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67CF6E06" w14:textId="6B74FBF0" w:rsidR="00A7403D" w:rsidRPr="001D408E" w:rsidRDefault="00A7403D" w:rsidP="00A7403D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>CIRC or AAC rules on exclusions and the scope of the accreditation visit</w:t>
            </w:r>
          </w:p>
        </w:tc>
        <w:tc>
          <w:tcPr>
            <w:tcW w:w="217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1BBCD69D" w14:textId="47A23D57" w:rsidR="00A7403D" w:rsidRPr="001D408E" w:rsidRDefault="00502C9B" w:rsidP="006657F8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 xml:space="preserve">Begin communications </w:t>
            </w:r>
            <w:r w:rsidR="00A7403D" w:rsidRPr="3D5C3FDC">
              <w:rPr>
                <w:rFonts w:ascii="Arial" w:hAnsi="Arial" w:cs="Arial"/>
                <w:sz w:val="18"/>
                <w:szCs w:val="18"/>
              </w:rPr>
              <w:t>with Peer Review Team</w:t>
            </w:r>
          </w:p>
        </w:tc>
        <w:tc>
          <w:tcPr>
            <w:tcW w:w="21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3682173B" w14:textId="6F5F6326" w:rsidR="00A7403D" w:rsidRPr="001D408E" w:rsidRDefault="002F4AC7" w:rsidP="00A7403D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>Work with Peer Review Team Chair to finalize the Visit Schedule</w:t>
            </w:r>
          </w:p>
        </w:tc>
      </w:tr>
      <w:tr w:rsidR="00A7403D" w:rsidRPr="00403556" w14:paraId="61E4EF9F" w14:textId="77777777" w:rsidTr="3D5C3FDC">
        <w:trPr>
          <w:trHeight w:val="1125"/>
          <w:jc w:val="center"/>
        </w:trPr>
        <w:tc>
          <w:tcPr>
            <w:tcW w:w="21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9D6" w:themeFill="background2"/>
          </w:tcPr>
          <w:p w14:paraId="2BDBF9E7" w14:textId="77777777" w:rsidR="00A7403D" w:rsidRPr="00403556" w:rsidRDefault="00A7403D" w:rsidP="00A740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9D6" w:themeFill="background2"/>
          </w:tcPr>
          <w:p w14:paraId="310EE14B" w14:textId="77777777" w:rsidR="00A7403D" w:rsidRPr="00403556" w:rsidRDefault="00A7403D" w:rsidP="00A740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9D6" w:themeFill="background2"/>
          </w:tcPr>
          <w:p w14:paraId="22E5D3F0" w14:textId="0EF483FB" w:rsidR="002D4D3A" w:rsidRPr="002D4D3A" w:rsidRDefault="00A7403D" w:rsidP="002D4D3A">
            <w:pPr>
              <w:numPr>
                <w:ilvl w:val="0"/>
                <w:numId w:val="31"/>
              </w:numPr>
              <w:tabs>
                <w:tab w:val="clear" w:pos="720"/>
                <w:tab w:val="num" w:pos="234"/>
              </w:tabs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>Date and Peer Review Team Nomination Request sent to school (February)</w:t>
            </w:r>
            <w:r>
              <w:br/>
            </w:r>
            <w:r w:rsidR="002D4D3A" w:rsidRPr="3D5C3FDC"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17">
              <w:r w:rsidR="002D4D3A" w:rsidRPr="3D5C3FDC">
                <w:rPr>
                  <w:rStyle w:val="Hyperlink"/>
                  <w:rFonts w:ascii="Arial" w:hAnsi="Arial" w:cs="Arial"/>
                  <w:sz w:val="18"/>
                  <w:szCs w:val="18"/>
                </w:rPr>
                <w:t>Accreditation Policies &amp; Procedures</w:t>
              </w:r>
            </w:hyperlink>
            <w:r w:rsidR="002D4D3A" w:rsidRPr="3D5C3FDC">
              <w:rPr>
                <w:rFonts w:ascii="Arial" w:hAnsi="Arial" w:cs="Arial"/>
                <w:sz w:val="18"/>
                <w:szCs w:val="18"/>
              </w:rPr>
              <w:t xml:space="preserve"> for Volunteer Deployment and Selection</w:t>
            </w:r>
          </w:p>
        </w:tc>
        <w:tc>
          <w:tcPr>
            <w:tcW w:w="217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9D6" w:themeFill="background2"/>
          </w:tcPr>
          <w:p w14:paraId="660061EC" w14:textId="77777777" w:rsidR="00A7403D" w:rsidRPr="001D408E" w:rsidRDefault="00A7403D" w:rsidP="00A740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9D6" w:themeFill="background2"/>
          </w:tcPr>
          <w:p w14:paraId="37B97C5E" w14:textId="192DBE71" w:rsidR="00A7403D" w:rsidRPr="001D408E" w:rsidRDefault="002F4AC7" w:rsidP="00A7403D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>Peer Review Team Visit</w:t>
            </w:r>
          </w:p>
        </w:tc>
      </w:tr>
      <w:tr w:rsidR="00A7403D" w:rsidRPr="00403556" w14:paraId="7A68D8E4" w14:textId="77777777" w:rsidTr="3D5C3FDC">
        <w:trPr>
          <w:trHeight w:val="891"/>
          <w:jc w:val="center"/>
        </w:trPr>
        <w:tc>
          <w:tcPr>
            <w:tcW w:w="21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73B6219F" w14:textId="77777777" w:rsidR="00A7403D" w:rsidRPr="00403556" w:rsidRDefault="00A7403D" w:rsidP="00A740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2D34CB20" w14:textId="77777777" w:rsidR="00A7403D" w:rsidRPr="00403556" w:rsidRDefault="00A7403D" w:rsidP="00A740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5D61467E" w14:textId="78FF68E3" w:rsidR="00A7403D" w:rsidRPr="001D408E" w:rsidRDefault="00A7403D" w:rsidP="00A7403D">
            <w:pPr>
              <w:numPr>
                <w:ilvl w:val="0"/>
                <w:numId w:val="31"/>
              </w:numPr>
              <w:tabs>
                <w:tab w:val="clear" w:pos="720"/>
                <w:tab w:val="num" w:pos="234"/>
              </w:tabs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3D5C3FDC">
              <w:rPr>
                <w:rFonts w:ascii="Arial" w:hAnsi="Arial" w:cs="Arial"/>
                <w:sz w:val="18"/>
                <w:szCs w:val="18"/>
              </w:rPr>
              <w:t>Return Date and Peer Review Team Nominations form to AACSB (March</w:t>
            </w:r>
            <w:r w:rsidR="008F535C" w:rsidRPr="3D5C3FDC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2C44E2" w:rsidRPr="3D5C3FDC">
              <w:rPr>
                <w:rFonts w:ascii="Arial" w:hAnsi="Arial" w:cs="Arial"/>
                <w:sz w:val="18"/>
                <w:szCs w:val="18"/>
              </w:rPr>
              <w:t>6</w:t>
            </w:r>
            <w:r w:rsidRPr="3D5C3F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7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77DA2EA1" w14:textId="77777777" w:rsidR="00A7403D" w:rsidRPr="001D408E" w:rsidRDefault="00A7403D" w:rsidP="00A740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D330" w:themeFill="accent2"/>
          </w:tcPr>
          <w:p w14:paraId="083BD50C" w14:textId="5CADF8C6" w:rsidR="00A7403D" w:rsidRPr="001D408E" w:rsidRDefault="00A7403D" w:rsidP="002F4AC7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F445C2" w14:textId="0A2AA4A1" w:rsidR="006C3C57" w:rsidRPr="008F535C" w:rsidRDefault="00AB04D1" w:rsidP="00AB04D1">
      <w:pPr>
        <w:tabs>
          <w:tab w:val="left" w:pos="19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sectPr w:rsidR="006C3C57" w:rsidRPr="008F535C" w:rsidSect="00376FD7">
      <w:footerReference w:type="default" r:id="rId18"/>
      <w:headerReference w:type="first" r:id="rId19"/>
      <w:footerReference w:type="first" r:id="rId20"/>
      <w:pgSz w:w="12240" w:h="15840" w:code="1"/>
      <w:pgMar w:top="180" w:right="720" w:bottom="720" w:left="720" w:header="288" w:footer="74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36E0" w14:textId="77777777" w:rsidR="00376FD7" w:rsidRDefault="00376FD7">
      <w:r>
        <w:separator/>
      </w:r>
    </w:p>
  </w:endnote>
  <w:endnote w:type="continuationSeparator" w:id="0">
    <w:p w14:paraId="05B2DA76" w14:textId="77777777" w:rsidR="00376FD7" w:rsidRDefault="0037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6817"/>
      <w:docPartObj>
        <w:docPartGallery w:val="Page Numbers (Bottom of Page)"/>
        <w:docPartUnique/>
      </w:docPartObj>
    </w:sdtPr>
    <w:sdtContent>
      <w:p w14:paraId="1EC32E0D" w14:textId="368C0B86" w:rsidR="009A0C8F" w:rsidRDefault="009A0C8F">
        <w:pPr>
          <w:pStyle w:val="Footer"/>
          <w:jc w:val="right"/>
        </w:pPr>
        <w:r w:rsidRPr="00A4339B">
          <w:rPr>
            <w:rFonts w:ascii="Arial" w:hAnsi="Arial" w:cs="Arial"/>
            <w:sz w:val="20"/>
            <w:szCs w:val="20"/>
          </w:rPr>
          <w:fldChar w:fldCharType="begin"/>
        </w:r>
        <w:r w:rsidRPr="00A4339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4339B">
          <w:rPr>
            <w:rFonts w:ascii="Arial" w:hAnsi="Arial" w:cs="Arial"/>
            <w:sz w:val="20"/>
            <w:szCs w:val="20"/>
          </w:rPr>
          <w:fldChar w:fldCharType="separate"/>
        </w:r>
        <w:r w:rsidR="008C1780">
          <w:rPr>
            <w:rFonts w:ascii="Arial" w:hAnsi="Arial" w:cs="Arial"/>
            <w:noProof/>
            <w:sz w:val="20"/>
            <w:szCs w:val="20"/>
          </w:rPr>
          <w:t>1</w:t>
        </w:r>
        <w:r w:rsidRPr="00A4339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B9B6" w14:textId="3A7EACDC" w:rsidR="00343417" w:rsidRPr="00343417" w:rsidRDefault="00343417">
    <w:pPr>
      <w:pStyle w:val="Footer"/>
      <w:rPr>
        <w:rFonts w:ascii="Arial" w:hAnsi="Arial" w:cs="Arial"/>
        <w:sz w:val="16"/>
        <w:szCs w:val="16"/>
      </w:rPr>
    </w:pPr>
    <w:r w:rsidRPr="00343417">
      <w:rPr>
        <w:rFonts w:ascii="Arial" w:hAnsi="Arial" w:cs="Arial"/>
        <w:sz w:val="16"/>
        <w:szCs w:val="16"/>
      </w:rPr>
      <w:t>C</w:t>
    </w:r>
    <w:r w:rsidR="008C1780">
      <w:rPr>
        <w:rFonts w:ascii="Arial" w:hAnsi="Arial" w:cs="Arial"/>
        <w:sz w:val="16"/>
        <w:szCs w:val="16"/>
      </w:rPr>
      <w:t>IRreviewTimeline_</w:t>
    </w:r>
    <w:r w:rsidR="006C3C57">
      <w:rPr>
        <w:rFonts w:ascii="Arial" w:hAnsi="Arial" w:cs="Arial"/>
        <w:sz w:val="16"/>
        <w:szCs w:val="16"/>
      </w:rPr>
      <w:t>v202</w:t>
    </w:r>
    <w:r w:rsidR="00AB04D1">
      <w:rPr>
        <w:rFonts w:ascii="Arial" w:hAnsi="Arial" w:cs="Arial"/>
        <w:sz w:val="16"/>
        <w:szCs w:val="16"/>
      </w:rPr>
      <w:t>3</w:t>
    </w:r>
    <w:r w:rsidR="006C3C57">
      <w:rPr>
        <w:rFonts w:ascii="Arial" w:hAnsi="Arial" w:cs="Arial"/>
        <w:sz w:val="16"/>
        <w:szCs w:val="16"/>
      </w:rPr>
      <w:t>02</w:t>
    </w:r>
    <w:r w:rsidR="00AB04D1">
      <w:rPr>
        <w:rFonts w:ascii="Arial" w:hAnsi="Arial" w:cs="Arial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4ACF" w14:textId="77777777" w:rsidR="00376FD7" w:rsidRDefault="00376FD7">
      <w:r>
        <w:separator/>
      </w:r>
    </w:p>
  </w:footnote>
  <w:footnote w:type="continuationSeparator" w:id="0">
    <w:p w14:paraId="5519AA6D" w14:textId="77777777" w:rsidR="00376FD7" w:rsidRDefault="0037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C6EB" w14:textId="390454B3" w:rsidR="00A36D04" w:rsidRDefault="00A36D04" w:rsidP="00075577">
    <w:pPr>
      <w:pStyle w:val="Header"/>
      <w:ind w:left="90" w:hanging="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ymbol_pdf" style="width:19.5pt;height:12.75pt;visibility:visible;mso-wrap-style:square" o:bullet="t">
        <v:imagedata r:id="rId1" o:title="symbol_pdf"/>
      </v:shape>
    </w:pict>
  </w:numPicBullet>
  <w:abstractNum w:abstractNumId="0" w15:restartNumberingAfterBreak="0">
    <w:nsid w:val="FFFFFF7F"/>
    <w:multiLevelType w:val="singleLevel"/>
    <w:tmpl w:val="6AC478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13F58"/>
    <w:multiLevelType w:val="hybridMultilevel"/>
    <w:tmpl w:val="872C36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043B43"/>
    <w:multiLevelType w:val="hybridMultilevel"/>
    <w:tmpl w:val="568A5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42B3"/>
    <w:multiLevelType w:val="hybridMultilevel"/>
    <w:tmpl w:val="35625094"/>
    <w:lvl w:ilvl="0" w:tplc="B31EFD9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06D8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8AE75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6AC02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ACFE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6201E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2A6E3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6857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52A234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06EA7CBA"/>
    <w:multiLevelType w:val="hybridMultilevel"/>
    <w:tmpl w:val="5E0A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6599"/>
    <w:multiLevelType w:val="hybridMultilevel"/>
    <w:tmpl w:val="C802783A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0EDD5DC1"/>
    <w:multiLevelType w:val="hybridMultilevel"/>
    <w:tmpl w:val="7B40C9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550DFF"/>
    <w:multiLevelType w:val="hybridMultilevel"/>
    <w:tmpl w:val="1F3C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A42A3"/>
    <w:multiLevelType w:val="hybridMultilevel"/>
    <w:tmpl w:val="E6A294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1959A6"/>
    <w:multiLevelType w:val="hybridMultilevel"/>
    <w:tmpl w:val="6ABC3BBA"/>
    <w:lvl w:ilvl="0" w:tplc="7DE43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B7755"/>
    <w:multiLevelType w:val="hybridMultilevel"/>
    <w:tmpl w:val="85C8B4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FAE07D0"/>
    <w:multiLevelType w:val="hybridMultilevel"/>
    <w:tmpl w:val="C30EA0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704EF"/>
    <w:multiLevelType w:val="hybridMultilevel"/>
    <w:tmpl w:val="0CCC6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B68D4"/>
    <w:multiLevelType w:val="hybridMultilevel"/>
    <w:tmpl w:val="8A1AA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365E4"/>
    <w:multiLevelType w:val="hybridMultilevel"/>
    <w:tmpl w:val="91141B5A"/>
    <w:lvl w:ilvl="0" w:tplc="E1A4D04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1661"/>
    <w:multiLevelType w:val="hybridMultilevel"/>
    <w:tmpl w:val="82381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3B64"/>
    <w:multiLevelType w:val="hybridMultilevel"/>
    <w:tmpl w:val="3440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7F46"/>
    <w:multiLevelType w:val="hybridMultilevel"/>
    <w:tmpl w:val="DED07D40"/>
    <w:lvl w:ilvl="0" w:tplc="617C2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48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09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D2B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22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0B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AC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49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E4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00A000C"/>
    <w:multiLevelType w:val="hybridMultilevel"/>
    <w:tmpl w:val="72D00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90409"/>
    <w:multiLevelType w:val="hybridMultilevel"/>
    <w:tmpl w:val="1C5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16694"/>
    <w:multiLevelType w:val="hybridMultilevel"/>
    <w:tmpl w:val="1714B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0A324A"/>
    <w:multiLevelType w:val="hybridMultilevel"/>
    <w:tmpl w:val="877C3FCE"/>
    <w:lvl w:ilvl="0" w:tplc="AC5263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E3D26"/>
    <w:multiLevelType w:val="hybridMultilevel"/>
    <w:tmpl w:val="59E04998"/>
    <w:lvl w:ilvl="0" w:tplc="274E59A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3B025C"/>
    <w:multiLevelType w:val="hybridMultilevel"/>
    <w:tmpl w:val="502AE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C2209"/>
    <w:multiLevelType w:val="hybridMultilevel"/>
    <w:tmpl w:val="FB188F2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E5062"/>
    <w:multiLevelType w:val="hybridMultilevel"/>
    <w:tmpl w:val="28CC6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323B4F"/>
    <w:multiLevelType w:val="hybridMultilevel"/>
    <w:tmpl w:val="F260F89A"/>
    <w:lvl w:ilvl="0" w:tplc="07A806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AA16EC5"/>
    <w:multiLevelType w:val="hybridMultilevel"/>
    <w:tmpl w:val="979E0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AF47A8"/>
    <w:multiLevelType w:val="hybridMultilevel"/>
    <w:tmpl w:val="6EE4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A547A"/>
    <w:multiLevelType w:val="hybridMultilevel"/>
    <w:tmpl w:val="03CA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41DF4"/>
    <w:multiLevelType w:val="hybridMultilevel"/>
    <w:tmpl w:val="574A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FE2245"/>
    <w:multiLevelType w:val="hybridMultilevel"/>
    <w:tmpl w:val="B090F236"/>
    <w:lvl w:ilvl="0" w:tplc="96D046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1410930">
    <w:abstractNumId w:val="31"/>
  </w:num>
  <w:num w:numId="2" w16cid:durableId="857624464">
    <w:abstractNumId w:val="15"/>
  </w:num>
  <w:num w:numId="3" w16cid:durableId="1028602677">
    <w:abstractNumId w:val="23"/>
  </w:num>
  <w:num w:numId="4" w16cid:durableId="1511290249">
    <w:abstractNumId w:val="12"/>
  </w:num>
  <w:num w:numId="5" w16cid:durableId="1917351584">
    <w:abstractNumId w:val="5"/>
  </w:num>
  <w:num w:numId="6" w16cid:durableId="967316428">
    <w:abstractNumId w:val="11"/>
  </w:num>
  <w:num w:numId="7" w16cid:durableId="1455247528">
    <w:abstractNumId w:val="25"/>
  </w:num>
  <w:num w:numId="8" w16cid:durableId="95255513">
    <w:abstractNumId w:val="27"/>
  </w:num>
  <w:num w:numId="9" w16cid:durableId="1421683875">
    <w:abstractNumId w:val="13"/>
  </w:num>
  <w:num w:numId="10" w16cid:durableId="1831367935">
    <w:abstractNumId w:val="2"/>
  </w:num>
  <w:num w:numId="11" w16cid:durableId="98187236">
    <w:abstractNumId w:val="8"/>
  </w:num>
  <w:num w:numId="12" w16cid:durableId="1994484977">
    <w:abstractNumId w:val="24"/>
  </w:num>
  <w:num w:numId="13" w16cid:durableId="1410348371">
    <w:abstractNumId w:val="6"/>
  </w:num>
  <w:num w:numId="14" w16cid:durableId="180122332">
    <w:abstractNumId w:val="22"/>
  </w:num>
  <w:num w:numId="15" w16cid:durableId="1630893016">
    <w:abstractNumId w:val="26"/>
  </w:num>
  <w:num w:numId="16" w16cid:durableId="2127773658">
    <w:abstractNumId w:val="30"/>
  </w:num>
  <w:num w:numId="17" w16cid:durableId="929043669">
    <w:abstractNumId w:val="20"/>
  </w:num>
  <w:num w:numId="18" w16cid:durableId="863060485">
    <w:abstractNumId w:val="17"/>
  </w:num>
  <w:num w:numId="19" w16cid:durableId="944582567">
    <w:abstractNumId w:val="1"/>
  </w:num>
  <w:num w:numId="20" w16cid:durableId="824737481">
    <w:abstractNumId w:val="9"/>
  </w:num>
  <w:num w:numId="21" w16cid:durableId="761606088">
    <w:abstractNumId w:val="4"/>
  </w:num>
  <w:num w:numId="22" w16cid:durableId="525295985">
    <w:abstractNumId w:val="0"/>
  </w:num>
  <w:num w:numId="23" w16cid:durableId="672806371">
    <w:abstractNumId w:val="21"/>
  </w:num>
  <w:num w:numId="24" w16cid:durableId="688726949">
    <w:abstractNumId w:val="28"/>
  </w:num>
  <w:num w:numId="25" w16cid:durableId="875852989">
    <w:abstractNumId w:val="7"/>
  </w:num>
  <w:num w:numId="26" w16cid:durableId="2000621333">
    <w:abstractNumId w:val="16"/>
  </w:num>
  <w:num w:numId="27" w16cid:durableId="368800628">
    <w:abstractNumId w:val="29"/>
  </w:num>
  <w:num w:numId="28" w16cid:durableId="1220677357">
    <w:abstractNumId w:val="19"/>
  </w:num>
  <w:num w:numId="29" w16cid:durableId="647563333">
    <w:abstractNumId w:val="10"/>
  </w:num>
  <w:num w:numId="30" w16cid:durableId="2059930920">
    <w:abstractNumId w:val="3"/>
  </w:num>
  <w:num w:numId="31" w16cid:durableId="1213545123">
    <w:abstractNumId w:val="18"/>
  </w:num>
  <w:num w:numId="32" w16cid:durableId="337731161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bK0NLIwMDO1MDRR0lEKTi0uzszPAykwrgUAg8EpYiwAAAA="/>
  </w:docVars>
  <w:rsids>
    <w:rsidRoot w:val="009C1BD5"/>
    <w:rsid w:val="0000263F"/>
    <w:rsid w:val="00006817"/>
    <w:rsid w:val="00006E9D"/>
    <w:rsid w:val="00010412"/>
    <w:rsid w:val="0001171B"/>
    <w:rsid w:val="00011722"/>
    <w:rsid w:val="000127B2"/>
    <w:rsid w:val="000130BD"/>
    <w:rsid w:val="000139A7"/>
    <w:rsid w:val="00034F48"/>
    <w:rsid w:val="00035CC5"/>
    <w:rsid w:val="00037DAD"/>
    <w:rsid w:val="00051397"/>
    <w:rsid w:val="000557EA"/>
    <w:rsid w:val="0005696F"/>
    <w:rsid w:val="000604FA"/>
    <w:rsid w:val="00064233"/>
    <w:rsid w:val="00073649"/>
    <w:rsid w:val="00075577"/>
    <w:rsid w:val="000836AC"/>
    <w:rsid w:val="000867FE"/>
    <w:rsid w:val="00097A32"/>
    <w:rsid w:val="000A57D8"/>
    <w:rsid w:val="000A75DB"/>
    <w:rsid w:val="000B3D13"/>
    <w:rsid w:val="000C7590"/>
    <w:rsid w:val="000D1C8E"/>
    <w:rsid w:val="000E04DD"/>
    <w:rsid w:val="000E7567"/>
    <w:rsid w:val="000F28A6"/>
    <w:rsid w:val="000F5BD1"/>
    <w:rsid w:val="00107293"/>
    <w:rsid w:val="00113D13"/>
    <w:rsid w:val="00114580"/>
    <w:rsid w:val="00125804"/>
    <w:rsid w:val="00136290"/>
    <w:rsid w:val="0013747F"/>
    <w:rsid w:val="00145697"/>
    <w:rsid w:val="00151F7C"/>
    <w:rsid w:val="001540A3"/>
    <w:rsid w:val="0016225A"/>
    <w:rsid w:val="001668F8"/>
    <w:rsid w:val="0017104F"/>
    <w:rsid w:val="00172A88"/>
    <w:rsid w:val="00176B7F"/>
    <w:rsid w:val="001773FA"/>
    <w:rsid w:val="00183DC3"/>
    <w:rsid w:val="00190658"/>
    <w:rsid w:val="001A1799"/>
    <w:rsid w:val="001A268D"/>
    <w:rsid w:val="001A619D"/>
    <w:rsid w:val="001B47AE"/>
    <w:rsid w:val="001B4B93"/>
    <w:rsid w:val="001B4FF3"/>
    <w:rsid w:val="001C091C"/>
    <w:rsid w:val="001D1A7F"/>
    <w:rsid w:val="001D408E"/>
    <w:rsid w:val="001D60D0"/>
    <w:rsid w:val="001D74D9"/>
    <w:rsid w:val="001E078D"/>
    <w:rsid w:val="001E15CF"/>
    <w:rsid w:val="001E5775"/>
    <w:rsid w:val="001E687D"/>
    <w:rsid w:val="001F09EF"/>
    <w:rsid w:val="001F5BB5"/>
    <w:rsid w:val="00223053"/>
    <w:rsid w:val="00225210"/>
    <w:rsid w:val="002276A3"/>
    <w:rsid w:val="0023589E"/>
    <w:rsid w:val="00237B89"/>
    <w:rsid w:val="0024426C"/>
    <w:rsid w:val="00245FCD"/>
    <w:rsid w:val="00253226"/>
    <w:rsid w:val="002534FA"/>
    <w:rsid w:val="00255124"/>
    <w:rsid w:val="00277228"/>
    <w:rsid w:val="00280C6C"/>
    <w:rsid w:val="00290A2C"/>
    <w:rsid w:val="002A717C"/>
    <w:rsid w:val="002B0482"/>
    <w:rsid w:val="002B12B1"/>
    <w:rsid w:val="002B3561"/>
    <w:rsid w:val="002C220B"/>
    <w:rsid w:val="002C3127"/>
    <w:rsid w:val="002C3F68"/>
    <w:rsid w:val="002C44E2"/>
    <w:rsid w:val="002D169B"/>
    <w:rsid w:val="002D4297"/>
    <w:rsid w:val="002D4D3A"/>
    <w:rsid w:val="002E11F7"/>
    <w:rsid w:val="002E38AA"/>
    <w:rsid w:val="002E6784"/>
    <w:rsid w:val="002F0498"/>
    <w:rsid w:val="002F4958"/>
    <w:rsid w:val="002F4AC7"/>
    <w:rsid w:val="002F4EF1"/>
    <w:rsid w:val="002F539D"/>
    <w:rsid w:val="00300FBC"/>
    <w:rsid w:val="00301BD6"/>
    <w:rsid w:val="00306F9A"/>
    <w:rsid w:val="00307C37"/>
    <w:rsid w:val="003105FA"/>
    <w:rsid w:val="0031332E"/>
    <w:rsid w:val="00316D8A"/>
    <w:rsid w:val="0032656D"/>
    <w:rsid w:val="00332086"/>
    <w:rsid w:val="003333EF"/>
    <w:rsid w:val="00334630"/>
    <w:rsid w:val="003351E7"/>
    <w:rsid w:val="00340457"/>
    <w:rsid w:val="00340E04"/>
    <w:rsid w:val="003421EF"/>
    <w:rsid w:val="00343417"/>
    <w:rsid w:val="003504FC"/>
    <w:rsid w:val="00357286"/>
    <w:rsid w:val="0037008A"/>
    <w:rsid w:val="00376FD7"/>
    <w:rsid w:val="003901C1"/>
    <w:rsid w:val="003954F2"/>
    <w:rsid w:val="003A25E0"/>
    <w:rsid w:val="003A6FFB"/>
    <w:rsid w:val="003B4D4F"/>
    <w:rsid w:val="003B539F"/>
    <w:rsid w:val="003C24B4"/>
    <w:rsid w:val="003C74C3"/>
    <w:rsid w:val="003D1246"/>
    <w:rsid w:val="003E0E7D"/>
    <w:rsid w:val="003E1A77"/>
    <w:rsid w:val="003E40B9"/>
    <w:rsid w:val="003E4F24"/>
    <w:rsid w:val="003E65B7"/>
    <w:rsid w:val="003F3CD7"/>
    <w:rsid w:val="003F5C8D"/>
    <w:rsid w:val="00403556"/>
    <w:rsid w:val="00405D20"/>
    <w:rsid w:val="00406FAF"/>
    <w:rsid w:val="004116CF"/>
    <w:rsid w:val="004128B2"/>
    <w:rsid w:val="00412E5B"/>
    <w:rsid w:val="004319FE"/>
    <w:rsid w:val="00433356"/>
    <w:rsid w:val="004366E4"/>
    <w:rsid w:val="0044375D"/>
    <w:rsid w:val="004469CC"/>
    <w:rsid w:val="00454841"/>
    <w:rsid w:val="0045509A"/>
    <w:rsid w:val="00463BB8"/>
    <w:rsid w:val="0046651E"/>
    <w:rsid w:val="00467B60"/>
    <w:rsid w:val="00475BE1"/>
    <w:rsid w:val="00476634"/>
    <w:rsid w:val="0048095C"/>
    <w:rsid w:val="00484F88"/>
    <w:rsid w:val="00487588"/>
    <w:rsid w:val="00493C14"/>
    <w:rsid w:val="00494DAD"/>
    <w:rsid w:val="004A0FC5"/>
    <w:rsid w:val="004A602A"/>
    <w:rsid w:val="004A6E9B"/>
    <w:rsid w:val="004B231E"/>
    <w:rsid w:val="004C6F80"/>
    <w:rsid w:val="004D0033"/>
    <w:rsid w:val="004E2372"/>
    <w:rsid w:val="004F50F1"/>
    <w:rsid w:val="004F69BB"/>
    <w:rsid w:val="004F775E"/>
    <w:rsid w:val="0050196B"/>
    <w:rsid w:val="00501C6F"/>
    <w:rsid w:val="00502C9B"/>
    <w:rsid w:val="00503752"/>
    <w:rsid w:val="0050550F"/>
    <w:rsid w:val="00507BEB"/>
    <w:rsid w:val="00511266"/>
    <w:rsid w:val="005129A3"/>
    <w:rsid w:val="005147E4"/>
    <w:rsid w:val="00514CC6"/>
    <w:rsid w:val="00516514"/>
    <w:rsid w:val="005206AD"/>
    <w:rsid w:val="00531922"/>
    <w:rsid w:val="005374E6"/>
    <w:rsid w:val="005471D0"/>
    <w:rsid w:val="00555C1A"/>
    <w:rsid w:val="00561A1F"/>
    <w:rsid w:val="005731E0"/>
    <w:rsid w:val="00575CBA"/>
    <w:rsid w:val="005807F5"/>
    <w:rsid w:val="005841BE"/>
    <w:rsid w:val="00585D25"/>
    <w:rsid w:val="005940B3"/>
    <w:rsid w:val="005A175D"/>
    <w:rsid w:val="005A4590"/>
    <w:rsid w:val="005A57D7"/>
    <w:rsid w:val="005B065E"/>
    <w:rsid w:val="005B0C0C"/>
    <w:rsid w:val="005B0F71"/>
    <w:rsid w:val="005D6119"/>
    <w:rsid w:val="005E2B7B"/>
    <w:rsid w:val="005F0D23"/>
    <w:rsid w:val="005F3A15"/>
    <w:rsid w:val="005F47E1"/>
    <w:rsid w:val="005F5921"/>
    <w:rsid w:val="0060103F"/>
    <w:rsid w:val="0060346A"/>
    <w:rsid w:val="00604C3E"/>
    <w:rsid w:val="0061534D"/>
    <w:rsid w:val="00616684"/>
    <w:rsid w:val="00627056"/>
    <w:rsid w:val="00630018"/>
    <w:rsid w:val="0063747D"/>
    <w:rsid w:val="00641DC1"/>
    <w:rsid w:val="0064527E"/>
    <w:rsid w:val="00646537"/>
    <w:rsid w:val="00651558"/>
    <w:rsid w:val="006515B6"/>
    <w:rsid w:val="0065230A"/>
    <w:rsid w:val="00652770"/>
    <w:rsid w:val="006556D1"/>
    <w:rsid w:val="0066304D"/>
    <w:rsid w:val="0066439A"/>
    <w:rsid w:val="006657F8"/>
    <w:rsid w:val="006702E8"/>
    <w:rsid w:val="00680CF7"/>
    <w:rsid w:val="00690FF4"/>
    <w:rsid w:val="006A0CB7"/>
    <w:rsid w:val="006A3419"/>
    <w:rsid w:val="006B2A74"/>
    <w:rsid w:val="006C3C57"/>
    <w:rsid w:val="006C6EC7"/>
    <w:rsid w:val="006E039D"/>
    <w:rsid w:val="006E610E"/>
    <w:rsid w:val="006E7560"/>
    <w:rsid w:val="006F25E6"/>
    <w:rsid w:val="006F4136"/>
    <w:rsid w:val="00710101"/>
    <w:rsid w:val="00712CB6"/>
    <w:rsid w:val="00715409"/>
    <w:rsid w:val="0071760E"/>
    <w:rsid w:val="00731DB8"/>
    <w:rsid w:val="0073279C"/>
    <w:rsid w:val="0073561B"/>
    <w:rsid w:val="00735ADE"/>
    <w:rsid w:val="00736712"/>
    <w:rsid w:val="007416D6"/>
    <w:rsid w:val="007453D2"/>
    <w:rsid w:val="007654AA"/>
    <w:rsid w:val="00772F33"/>
    <w:rsid w:val="00777AA9"/>
    <w:rsid w:val="00781CB2"/>
    <w:rsid w:val="00783219"/>
    <w:rsid w:val="007A3095"/>
    <w:rsid w:val="007A587C"/>
    <w:rsid w:val="007A7375"/>
    <w:rsid w:val="007B3F9D"/>
    <w:rsid w:val="007B5760"/>
    <w:rsid w:val="007B7D90"/>
    <w:rsid w:val="007C7A12"/>
    <w:rsid w:val="007D19A9"/>
    <w:rsid w:val="007E4023"/>
    <w:rsid w:val="007E4FC3"/>
    <w:rsid w:val="007F2FCC"/>
    <w:rsid w:val="007F3319"/>
    <w:rsid w:val="007F6A56"/>
    <w:rsid w:val="007F74F6"/>
    <w:rsid w:val="007F7894"/>
    <w:rsid w:val="00805443"/>
    <w:rsid w:val="00807D12"/>
    <w:rsid w:val="008123BE"/>
    <w:rsid w:val="00812CE8"/>
    <w:rsid w:val="00814C26"/>
    <w:rsid w:val="00815E86"/>
    <w:rsid w:val="00815FE1"/>
    <w:rsid w:val="00820A75"/>
    <w:rsid w:val="00832F1C"/>
    <w:rsid w:val="00841140"/>
    <w:rsid w:val="008469AA"/>
    <w:rsid w:val="00855BEF"/>
    <w:rsid w:val="00860B5D"/>
    <w:rsid w:val="00860F72"/>
    <w:rsid w:val="00862829"/>
    <w:rsid w:val="0087545E"/>
    <w:rsid w:val="008850C6"/>
    <w:rsid w:val="00885938"/>
    <w:rsid w:val="00887C6B"/>
    <w:rsid w:val="008A25D8"/>
    <w:rsid w:val="008A5AF5"/>
    <w:rsid w:val="008B0720"/>
    <w:rsid w:val="008B0788"/>
    <w:rsid w:val="008B37F3"/>
    <w:rsid w:val="008B52CB"/>
    <w:rsid w:val="008B5D08"/>
    <w:rsid w:val="008B63BD"/>
    <w:rsid w:val="008C1780"/>
    <w:rsid w:val="008D4B28"/>
    <w:rsid w:val="008E2378"/>
    <w:rsid w:val="008E2962"/>
    <w:rsid w:val="008E3198"/>
    <w:rsid w:val="008E65C4"/>
    <w:rsid w:val="008F0504"/>
    <w:rsid w:val="008F19CB"/>
    <w:rsid w:val="008F4BA8"/>
    <w:rsid w:val="008F535C"/>
    <w:rsid w:val="00902FAC"/>
    <w:rsid w:val="00913BBB"/>
    <w:rsid w:val="0091485B"/>
    <w:rsid w:val="00916E9A"/>
    <w:rsid w:val="009233E4"/>
    <w:rsid w:val="00924189"/>
    <w:rsid w:val="009245C8"/>
    <w:rsid w:val="009302B5"/>
    <w:rsid w:val="00937FA1"/>
    <w:rsid w:val="00954B1D"/>
    <w:rsid w:val="00957400"/>
    <w:rsid w:val="00975718"/>
    <w:rsid w:val="00975CBA"/>
    <w:rsid w:val="00975CD8"/>
    <w:rsid w:val="00991336"/>
    <w:rsid w:val="0099611C"/>
    <w:rsid w:val="00997071"/>
    <w:rsid w:val="009A0C8F"/>
    <w:rsid w:val="009B0C3C"/>
    <w:rsid w:val="009B4357"/>
    <w:rsid w:val="009B57B6"/>
    <w:rsid w:val="009B6427"/>
    <w:rsid w:val="009B6BA9"/>
    <w:rsid w:val="009C02E8"/>
    <w:rsid w:val="009C1BD5"/>
    <w:rsid w:val="009E1851"/>
    <w:rsid w:val="009E3CEC"/>
    <w:rsid w:val="009F19D7"/>
    <w:rsid w:val="009F5055"/>
    <w:rsid w:val="009F51CA"/>
    <w:rsid w:val="009F779E"/>
    <w:rsid w:val="00A00239"/>
    <w:rsid w:val="00A12E78"/>
    <w:rsid w:val="00A12E82"/>
    <w:rsid w:val="00A172A2"/>
    <w:rsid w:val="00A179D5"/>
    <w:rsid w:val="00A31FEF"/>
    <w:rsid w:val="00A33050"/>
    <w:rsid w:val="00A36D04"/>
    <w:rsid w:val="00A4339B"/>
    <w:rsid w:val="00A46004"/>
    <w:rsid w:val="00A669D9"/>
    <w:rsid w:val="00A716AF"/>
    <w:rsid w:val="00A71CC4"/>
    <w:rsid w:val="00A736A0"/>
    <w:rsid w:val="00A7403D"/>
    <w:rsid w:val="00A81F1D"/>
    <w:rsid w:val="00A851D2"/>
    <w:rsid w:val="00A86E6B"/>
    <w:rsid w:val="00A96E4F"/>
    <w:rsid w:val="00A97054"/>
    <w:rsid w:val="00AA006A"/>
    <w:rsid w:val="00AA15FA"/>
    <w:rsid w:val="00AA1DB2"/>
    <w:rsid w:val="00AA2D81"/>
    <w:rsid w:val="00AA5C26"/>
    <w:rsid w:val="00AA5F11"/>
    <w:rsid w:val="00AA6583"/>
    <w:rsid w:val="00AA76A2"/>
    <w:rsid w:val="00AB04D1"/>
    <w:rsid w:val="00AB0545"/>
    <w:rsid w:val="00AB0744"/>
    <w:rsid w:val="00AB15B0"/>
    <w:rsid w:val="00AB42A0"/>
    <w:rsid w:val="00AC1362"/>
    <w:rsid w:val="00AC1383"/>
    <w:rsid w:val="00AC27B4"/>
    <w:rsid w:val="00AC6526"/>
    <w:rsid w:val="00AD04A8"/>
    <w:rsid w:val="00AD328B"/>
    <w:rsid w:val="00AD5198"/>
    <w:rsid w:val="00AE176E"/>
    <w:rsid w:val="00AE2E82"/>
    <w:rsid w:val="00AF6985"/>
    <w:rsid w:val="00B05A4B"/>
    <w:rsid w:val="00B06B47"/>
    <w:rsid w:val="00B13C55"/>
    <w:rsid w:val="00B216EE"/>
    <w:rsid w:val="00B252BE"/>
    <w:rsid w:val="00B330B8"/>
    <w:rsid w:val="00B41567"/>
    <w:rsid w:val="00B451B3"/>
    <w:rsid w:val="00B45F7B"/>
    <w:rsid w:val="00B46859"/>
    <w:rsid w:val="00B4747B"/>
    <w:rsid w:val="00B475E1"/>
    <w:rsid w:val="00B518DF"/>
    <w:rsid w:val="00B545E6"/>
    <w:rsid w:val="00B610B9"/>
    <w:rsid w:val="00B66068"/>
    <w:rsid w:val="00B67BDE"/>
    <w:rsid w:val="00B7060B"/>
    <w:rsid w:val="00B74952"/>
    <w:rsid w:val="00B90099"/>
    <w:rsid w:val="00B9788E"/>
    <w:rsid w:val="00BA556B"/>
    <w:rsid w:val="00BB0726"/>
    <w:rsid w:val="00BB5F47"/>
    <w:rsid w:val="00BC23B1"/>
    <w:rsid w:val="00BC2F64"/>
    <w:rsid w:val="00BC40AE"/>
    <w:rsid w:val="00BD18F4"/>
    <w:rsid w:val="00BD37F6"/>
    <w:rsid w:val="00BD5083"/>
    <w:rsid w:val="00BD5F14"/>
    <w:rsid w:val="00BF3199"/>
    <w:rsid w:val="00BF3681"/>
    <w:rsid w:val="00BF6884"/>
    <w:rsid w:val="00C01A73"/>
    <w:rsid w:val="00C11F63"/>
    <w:rsid w:val="00C16034"/>
    <w:rsid w:val="00C17D11"/>
    <w:rsid w:val="00C26B10"/>
    <w:rsid w:val="00C37791"/>
    <w:rsid w:val="00C40412"/>
    <w:rsid w:val="00C40E10"/>
    <w:rsid w:val="00C478E6"/>
    <w:rsid w:val="00C60B59"/>
    <w:rsid w:val="00C62970"/>
    <w:rsid w:val="00C659E9"/>
    <w:rsid w:val="00C67D96"/>
    <w:rsid w:val="00C76B56"/>
    <w:rsid w:val="00C851FD"/>
    <w:rsid w:val="00C941A6"/>
    <w:rsid w:val="00CA58E1"/>
    <w:rsid w:val="00CA5E17"/>
    <w:rsid w:val="00CB2C55"/>
    <w:rsid w:val="00CB6503"/>
    <w:rsid w:val="00CC509C"/>
    <w:rsid w:val="00CD036C"/>
    <w:rsid w:val="00CD317B"/>
    <w:rsid w:val="00CD43F3"/>
    <w:rsid w:val="00CE1343"/>
    <w:rsid w:val="00CF5196"/>
    <w:rsid w:val="00CF7289"/>
    <w:rsid w:val="00D02319"/>
    <w:rsid w:val="00D030AF"/>
    <w:rsid w:val="00D056A5"/>
    <w:rsid w:val="00D06136"/>
    <w:rsid w:val="00D06B6A"/>
    <w:rsid w:val="00D24E8E"/>
    <w:rsid w:val="00D337AC"/>
    <w:rsid w:val="00D403C7"/>
    <w:rsid w:val="00D428B0"/>
    <w:rsid w:val="00D446E3"/>
    <w:rsid w:val="00D504FD"/>
    <w:rsid w:val="00D537F7"/>
    <w:rsid w:val="00D538FC"/>
    <w:rsid w:val="00D5435F"/>
    <w:rsid w:val="00D5798C"/>
    <w:rsid w:val="00D604C8"/>
    <w:rsid w:val="00D61628"/>
    <w:rsid w:val="00D652BF"/>
    <w:rsid w:val="00D71381"/>
    <w:rsid w:val="00D71920"/>
    <w:rsid w:val="00D722D1"/>
    <w:rsid w:val="00D77981"/>
    <w:rsid w:val="00D810A9"/>
    <w:rsid w:val="00D868EA"/>
    <w:rsid w:val="00DA0001"/>
    <w:rsid w:val="00DA01DD"/>
    <w:rsid w:val="00DA4B09"/>
    <w:rsid w:val="00DB413E"/>
    <w:rsid w:val="00DB58C6"/>
    <w:rsid w:val="00DB6EE1"/>
    <w:rsid w:val="00DC35C2"/>
    <w:rsid w:val="00DD6008"/>
    <w:rsid w:val="00DD627D"/>
    <w:rsid w:val="00DD6760"/>
    <w:rsid w:val="00DE1FB0"/>
    <w:rsid w:val="00DE5960"/>
    <w:rsid w:val="00DF1B41"/>
    <w:rsid w:val="00DF271A"/>
    <w:rsid w:val="00E046A0"/>
    <w:rsid w:val="00E04962"/>
    <w:rsid w:val="00E04A15"/>
    <w:rsid w:val="00E26B21"/>
    <w:rsid w:val="00E432FE"/>
    <w:rsid w:val="00E44D81"/>
    <w:rsid w:val="00E57418"/>
    <w:rsid w:val="00E6449D"/>
    <w:rsid w:val="00E66E00"/>
    <w:rsid w:val="00E73FE5"/>
    <w:rsid w:val="00E7435D"/>
    <w:rsid w:val="00E84AA7"/>
    <w:rsid w:val="00E86B8A"/>
    <w:rsid w:val="00E93CC9"/>
    <w:rsid w:val="00EA055B"/>
    <w:rsid w:val="00EB22C2"/>
    <w:rsid w:val="00EB2497"/>
    <w:rsid w:val="00EB6569"/>
    <w:rsid w:val="00EC58BF"/>
    <w:rsid w:val="00ED0143"/>
    <w:rsid w:val="00ED3B4D"/>
    <w:rsid w:val="00ED513E"/>
    <w:rsid w:val="00ED6960"/>
    <w:rsid w:val="00EF4DB4"/>
    <w:rsid w:val="00EF7E19"/>
    <w:rsid w:val="00F0075C"/>
    <w:rsid w:val="00F00EA3"/>
    <w:rsid w:val="00F04B6E"/>
    <w:rsid w:val="00F176B2"/>
    <w:rsid w:val="00F2139B"/>
    <w:rsid w:val="00F21827"/>
    <w:rsid w:val="00F24D29"/>
    <w:rsid w:val="00F3012E"/>
    <w:rsid w:val="00F312A0"/>
    <w:rsid w:val="00F32E10"/>
    <w:rsid w:val="00F33EE0"/>
    <w:rsid w:val="00F3563D"/>
    <w:rsid w:val="00F366D1"/>
    <w:rsid w:val="00F41615"/>
    <w:rsid w:val="00F5043F"/>
    <w:rsid w:val="00F51523"/>
    <w:rsid w:val="00F51B0F"/>
    <w:rsid w:val="00F63BF2"/>
    <w:rsid w:val="00F67408"/>
    <w:rsid w:val="00F719DC"/>
    <w:rsid w:val="00F74BC8"/>
    <w:rsid w:val="00F828F5"/>
    <w:rsid w:val="00F84FE3"/>
    <w:rsid w:val="00F85892"/>
    <w:rsid w:val="00F86271"/>
    <w:rsid w:val="00F95DB4"/>
    <w:rsid w:val="00F968B9"/>
    <w:rsid w:val="00FA1E8B"/>
    <w:rsid w:val="00FA51DB"/>
    <w:rsid w:val="00FA5623"/>
    <w:rsid w:val="00FA795E"/>
    <w:rsid w:val="00FB774F"/>
    <w:rsid w:val="00FC5308"/>
    <w:rsid w:val="00FD66BD"/>
    <w:rsid w:val="00FD71B5"/>
    <w:rsid w:val="00FE3F3F"/>
    <w:rsid w:val="00FE776D"/>
    <w:rsid w:val="00FF0CA6"/>
    <w:rsid w:val="3D5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98BBF"/>
  <w15:docId w15:val="{BCD0C008-FEF2-424D-8125-B198958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B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B6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04B6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04B6E"/>
    <w:pPr>
      <w:keepNext/>
      <w:spacing w:line="480" w:lineRule="auto"/>
      <w:outlineLvl w:val="2"/>
    </w:pPr>
    <w:rPr>
      <w:szCs w:val="21"/>
      <w:u w:val="single"/>
    </w:rPr>
  </w:style>
  <w:style w:type="paragraph" w:styleId="Heading4">
    <w:name w:val="heading 4"/>
    <w:basedOn w:val="Normal"/>
    <w:next w:val="Normal"/>
    <w:qFormat/>
    <w:rsid w:val="00F04B6E"/>
    <w:pPr>
      <w:keepNext/>
      <w:spacing w:line="480" w:lineRule="auto"/>
      <w:outlineLvl w:val="3"/>
    </w:pPr>
    <w:rPr>
      <w:b/>
      <w:bCs/>
      <w:szCs w:val="21"/>
      <w:u w:val="single"/>
    </w:rPr>
  </w:style>
  <w:style w:type="paragraph" w:styleId="Heading5">
    <w:name w:val="heading 5"/>
    <w:basedOn w:val="Normal"/>
    <w:next w:val="Normal"/>
    <w:qFormat/>
    <w:rsid w:val="00F04B6E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F04B6E"/>
    <w:pPr>
      <w:keepNext/>
      <w:tabs>
        <w:tab w:val="left" w:pos="540"/>
      </w:tabs>
      <w:ind w:left="540" w:hanging="540"/>
      <w:outlineLvl w:val="5"/>
    </w:pPr>
    <w:rPr>
      <w:b/>
      <w:bCs/>
      <w:szCs w:val="20"/>
      <w:u w:val="single"/>
    </w:rPr>
  </w:style>
  <w:style w:type="paragraph" w:styleId="Heading7">
    <w:name w:val="heading 7"/>
    <w:basedOn w:val="Normal"/>
    <w:next w:val="Normal"/>
    <w:qFormat/>
    <w:rsid w:val="00F04B6E"/>
    <w:pPr>
      <w:keepNext/>
      <w:jc w:val="center"/>
      <w:outlineLvl w:val="6"/>
    </w:pPr>
    <w:rPr>
      <w:sz w:val="28"/>
      <w:szCs w:val="21"/>
    </w:rPr>
  </w:style>
  <w:style w:type="paragraph" w:styleId="Heading8">
    <w:name w:val="heading 8"/>
    <w:basedOn w:val="Normal"/>
    <w:next w:val="Normal"/>
    <w:qFormat/>
    <w:rsid w:val="00F04B6E"/>
    <w:pPr>
      <w:keepNext/>
      <w:jc w:val="center"/>
      <w:outlineLvl w:val="7"/>
    </w:pPr>
    <w:rPr>
      <w:b/>
      <w:bCs/>
      <w:sz w:val="28"/>
      <w:szCs w:val="21"/>
    </w:rPr>
  </w:style>
  <w:style w:type="paragraph" w:styleId="Heading9">
    <w:name w:val="heading 9"/>
    <w:basedOn w:val="Normal"/>
    <w:next w:val="Normal"/>
    <w:qFormat/>
    <w:rsid w:val="00F04B6E"/>
    <w:pPr>
      <w:keepNext/>
      <w:ind w:left="36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04B6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04B6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04B6E"/>
    <w:pPr>
      <w:spacing w:line="480" w:lineRule="auto"/>
      <w:ind w:left="720"/>
    </w:pPr>
    <w:rPr>
      <w:szCs w:val="21"/>
    </w:rPr>
  </w:style>
  <w:style w:type="paragraph" w:styleId="BodyText">
    <w:name w:val="Body Text"/>
    <w:basedOn w:val="Normal"/>
    <w:rsid w:val="00F04B6E"/>
    <w:rPr>
      <w:szCs w:val="20"/>
    </w:rPr>
  </w:style>
  <w:style w:type="paragraph" w:styleId="BodyTextIndent3">
    <w:name w:val="Body Text Indent 3"/>
    <w:basedOn w:val="Normal"/>
    <w:rsid w:val="00F04B6E"/>
    <w:pPr>
      <w:tabs>
        <w:tab w:val="left" w:pos="540"/>
      </w:tabs>
      <w:ind w:left="540" w:hanging="540"/>
    </w:pPr>
    <w:rPr>
      <w:szCs w:val="20"/>
    </w:rPr>
  </w:style>
  <w:style w:type="paragraph" w:styleId="BodyTextIndent2">
    <w:name w:val="Body Text Indent 2"/>
    <w:basedOn w:val="Normal"/>
    <w:link w:val="BodyTextIndent2Char"/>
    <w:rsid w:val="00F04B6E"/>
    <w:pPr>
      <w:tabs>
        <w:tab w:val="left" w:pos="540"/>
      </w:tabs>
      <w:ind w:left="540"/>
    </w:pPr>
    <w:rPr>
      <w:szCs w:val="20"/>
    </w:rPr>
  </w:style>
  <w:style w:type="character" w:styleId="PageNumber">
    <w:name w:val="page number"/>
    <w:basedOn w:val="DefaultParagraphFont"/>
    <w:rsid w:val="00F04B6E"/>
  </w:style>
  <w:style w:type="paragraph" w:styleId="BodyText2">
    <w:name w:val="Body Text 2"/>
    <w:basedOn w:val="Normal"/>
    <w:rsid w:val="00F04B6E"/>
    <w:pPr>
      <w:jc w:val="both"/>
    </w:pPr>
    <w:rPr>
      <w:sz w:val="22"/>
      <w:szCs w:val="20"/>
    </w:rPr>
  </w:style>
  <w:style w:type="paragraph" w:styleId="EnvelopeReturn">
    <w:name w:val="envelope return"/>
    <w:basedOn w:val="Normal"/>
    <w:rsid w:val="00F04B6E"/>
    <w:rPr>
      <w:szCs w:val="20"/>
    </w:rPr>
  </w:style>
  <w:style w:type="paragraph" w:styleId="Header">
    <w:name w:val="header"/>
    <w:basedOn w:val="Normal"/>
    <w:link w:val="HeaderChar"/>
    <w:uiPriority w:val="99"/>
    <w:rsid w:val="00F04B6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04B6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F04B6E"/>
    <w:rPr>
      <w:color w:val="0000FF"/>
      <w:u w:val="single"/>
    </w:rPr>
  </w:style>
  <w:style w:type="character" w:styleId="FollowedHyperlink">
    <w:name w:val="FollowedHyperlink"/>
    <w:basedOn w:val="DefaultParagraphFont"/>
    <w:rsid w:val="00F04B6E"/>
    <w:rPr>
      <w:color w:val="800080"/>
      <w:u w:val="single"/>
    </w:rPr>
  </w:style>
  <w:style w:type="paragraph" w:styleId="E-mailSignature">
    <w:name w:val="E-mail Signature"/>
    <w:basedOn w:val="Normal"/>
    <w:rsid w:val="00F04B6E"/>
    <w:rPr>
      <w:rFonts w:ascii="Arial" w:hAnsi="Arial"/>
      <w:sz w:val="20"/>
      <w:szCs w:val="20"/>
    </w:rPr>
  </w:style>
  <w:style w:type="paragraph" w:styleId="BlockText">
    <w:name w:val="Block Text"/>
    <w:basedOn w:val="Normal"/>
    <w:rsid w:val="00F04B6E"/>
    <w:pPr>
      <w:ind w:left="720" w:right="720"/>
    </w:pPr>
    <w:rPr>
      <w:szCs w:val="20"/>
    </w:rPr>
  </w:style>
  <w:style w:type="paragraph" w:styleId="BalloonText">
    <w:name w:val="Balloon Text"/>
    <w:basedOn w:val="Normal"/>
    <w:semiHidden/>
    <w:rsid w:val="00F04B6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04B6E"/>
  </w:style>
  <w:style w:type="paragraph" w:styleId="TOC2">
    <w:name w:val="toc 2"/>
    <w:basedOn w:val="Normal"/>
    <w:next w:val="Normal"/>
    <w:autoRedefine/>
    <w:semiHidden/>
    <w:rsid w:val="00F04B6E"/>
    <w:pPr>
      <w:ind w:left="240"/>
    </w:pPr>
  </w:style>
  <w:style w:type="paragraph" w:styleId="TOC3">
    <w:name w:val="toc 3"/>
    <w:basedOn w:val="Normal"/>
    <w:next w:val="Normal"/>
    <w:autoRedefine/>
    <w:semiHidden/>
    <w:rsid w:val="00F04B6E"/>
    <w:pPr>
      <w:ind w:left="480"/>
    </w:pPr>
  </w:style>
  <w:style w:type="paragraph" w:styleId="TOC4">
    <w:name w:val="toc 4"/>
    <w:basedOn w:val="Normal"/>
    <w:next w:val="Normal"/>
    <w:autoRedefine/>
    <w:semiHidden/>
    <w:rsid w:val="00F04B6E"/>
    <w:pPr>
      <w:ind w:left="720"/>
    </w:pPr>
  </w:style>
  <w:style w:type="paragraph" w:styleId="TOC5">
    <w:name w:val="toc 5"/>
    <w:basedOn w:val="Normal"/>
    <w:next w:val="Normal"/>
    <w:autoRedefine/>
    <w:semiHidden/>
    <w:rsid w:val="00F04B6E"/>
    <w:pPr>
      <w:ind w:left="960"/>
    </w:pPr>
  </w:style>
  <w:style w:type="paragraph" w:styleId="TOC6">
    <w:name w:val="toc 6"/>
    <w:basedOn w:val="Normal"/>
    <w:next w:val="Normal"/>
    <w:autoRedefine/>
    <w:semiHidden/>
    <w:rsid w:val="00F04B6E"/>
    <w:pPr>
      <w:ind w:left="1200"/>
    </w:pPr>
  </w:style>
  <w:style w:type="paragraph" w:styleId="TOC7">
    <w:name w:val="toc 7"/>
    <w:basedOn w:val="Normal"/>
    <w:next w:val="Normal"/>
    <w:autoRedefine/>
    <w:semiHidden/>
    <w:rsid w:val="00F04B6E"/>
    <w:pPr>
      <w:ind w:left="1440"/>
    </w:pPr>
  </w:style>
  <w:style w:type="paragraph" w:styleId="TOC8">
    <w:name w:val="toc 8"/>
    <w:basedOn w:val="Normal"/>
    <w:next w:val="Normal"/>
    <w:autoRedefine/>
    <w:semiHidden/>
    <w:rsid w:val="00F04B6E"/>
    <w:pPr>
      <w:ind w:left="1680"/>
    </w:pPr>
  </w:style>
  <w:style w:type="paragraph" w:styleId="TOC9">
    <w:name w:val="toc 9"/>
    <w:basedOn w:val="Normal"/>
    <w:next w:val="Normal"/>
    <w:autoRedefine/>
    <w:semiHidden/>
    <w:rsid w:val="00F04B6E"/>
    <w:pPr>
      <w:ind w:left="1920"/>
    </w:pPr>
  </w:style>
  <w:style w:type="table" w:styleId="TableGrid">
    <w:name w:val="Table Grid"/>
    <w:basedOn w:val="TableNormal"/>
    <w:rsid w:val="00F0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04B6E"/>
    <w:pPr>
      <w:jc w:val="center"/>
    </w:pPr>
    <w:rPr>
      <w:b/>
      <w:bCs/>
    </w:rPr>
  </w:style>
  <w:style w:type="table" w:styleId="TableElegant">
    <w:name w:val="Table Elegant"/>
    <w:basedOn w:val="TableNormal"/>
    <w:rsid w:val="00F04B6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F04B6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04B6E"/>
    <w:rPr>
      <w:vertAlign w:val="superscript"/>
    </w:rPr>
  </w:style>
  <w:style w:type="character" w:styleId="CommentReference">
    <w:name w:val="annotation reference"/>
    <w:basedOn w:val="DefaultParagraphFont"/>
    <w:rsid w:val="00F04B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4B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6E"/>
    <w:rPr>
      <w:b/>
      <w:bCs/>
    </w:rPr>
  </w:style>
  <w:style w:type="paragraph" w:styleId="EndnoteText">
    <w:name w:val="endnote text"/>
    <w:basedOn w:val="Normal"/>
    <w:semiHidden/>
    <w:rsid w:val="00F04B6E"/>
    <w:rPr>
      <w:rFonts w:ascii="Courier New" w:hAnsi="Courier New"/>
      <w:szCs w:val="20"/>
    </w:rPr>
  </w:style>
  <w:style w:type="paragraph" w:styleId="NormalWeb">
    <w:name w:val="Normal (Web)"/>
    <w:basedOn w:val="Normal"/>
    <w:uiPriority w:val="99"/>
    <w:rsid w:val="00F04B6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75CBA"/>
    <w:pPr>
      <w:ind w:left="720"/>
      <w:contextualSpacing/>
    </w:pPr>
  </w:style>
  <w:style w:type="character" w:customStyle="1" w:styleId="Letterhead">
    <w:name w:val="Letterhead"/>
    <w:basedOn w:val="DefaultParagraphFont"/>
    <w:rsid w:val="00AA006A"/>
    <w:rPr>
      <w:rFonts w:ascii="Courier New" w:hAnsi="Courier New"/>
      <w:noProof w:val="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B63BD"/>
  </w:style>
  <w:style w:type="character" w:customStyle="1" w:styleId="AllLtrhead">
    <w:name w:val="All Ltrhead"/>
    <w:basedOn w:val="DefaultParagraphFont"/>
    <w:rsid w:val="003C74C3"/>
    <w:rPr>
      <w:rFonts w:ascii="Courier" w:hAnsi="Courier"/>
      <w:noProof w:val="0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81F1D"/>
    <w:rPr>
      <w:sz w:val="24"/>
    </w:rPr>
  </w:style>
  <w:style w:type="paragraph" w:styleId="ListNumber2">
    <w:name w:val="List Number 2"/>
    <w:basedOn w:val="Normal"/>
    <w:link w:val="ListNumber2Char"/>
    <w:rsid w:val="00EF4DB4"/>
    <w:pPr>
      <w:numPr>
        <w:numId w:val="22"/>
      </w:numPr>
    </w:pPr>
  </w:style>
  <w:style w:type="character" w:customStyle="1" w:styleId="ListNumber2Char">
    <w:name w:val="List Number 2 Char"/>
    <w:basedOn w:val="DefaultParagraphFont"/>
    <w:link w:val="ListNumber2"/>
    <w:rsid w:val="00EF4D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426C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A1E8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1E8B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1E8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57418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16D8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129A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acsb.edu/tools/datadirec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acsb.edu/tools/datadirect" TargetMode="External"/><Relationship Id="rId17" Type="http://schemas.openxmlformats.org/officeDocument/2006/relationships/hyperlink" Target="https://www.aacsb.edu/educators/accreditation/policies-and-proced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acsb.edu/tools/datadirec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aacsb.edu/tools/datadirec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acsb.edu/tools/datadirect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ACSB Brand theme">
  <a:themeElements>
    <a:clrScheme name="AACSB-2017-03-14">
      <a:dk1>
        <a:srgbClr val="555659"/>
      </a:dk1>
      <a:lt1>
        <a:srgbClr val="FFFFFF"/>
      </a:lt1>
      <a:dk2>
        <a:srgbClr val="006E61"/>
      </a:dk2>
      <a:lt2>
        <a:srgbClr val="DBD9D6"/>
      </a:lt2>
      <a:accent1>
        <a:srgbClr val="006E61"/>
      </a:accent1>
      <a:accent2>
        <a:srgbClr val="A5D330"/>
      </a:accent2>
      <a:accent3>
        <a:srgbClr val="E75000"/>
      </a:accent3>
      <a:accent4>
        <a:srgbClr val="B3B2B1"/>
      </a:accent4>
      <a:accent5>
        <a:srgbClr val="008FBE"/>
      </a:accent5>
      <a:accent6>
        <a:srgbClr val="3FBFAD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ACSB Brand theme" id="{38AF2363-5986-48B4-8614-83636125F0B5}" vid="{27105C49-6E8E-4C5A-A591-381BE1D8FC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4B35A-5C5F-4204-9A06-9F850B0CE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8304A-EBC6-4D57-9BFB-53DB6C3FB4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70FFC439-5060-41DF-9BBF-F8E639B7E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6ECE6-DBD1-4E20-9323-93542245B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>AASCB The International Assoc. for Management Edu.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AACSB International – The Association</dc:title>
  <dc:creator>Sandra Michael</dc:creator>
  <cp:lastModifiedBy>Amy Roberts</cp:lastModifiedBy>
  <cp:revision>18</cp:revision>
  <cp:lastPrinted>2015-07-30T18:05:00Z</cp:lastPrinted>
  <dcterms:created xsi:type="dcterms:W3CDTF">2022-02-02T21:48:00Z</dcterms:created>
  <dcterms:modified xsi:type="dcterms:W3CDTF">2024-02-15T21:46:00Z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1726000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2024-02-15T21:46:56Z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35a40572-89ff-4dac-8fae-946879928a03</vt:lpwstr>
  </property>
  <property fmtid="{D5CDD505-2E9C-101B-9397-08002B2CF9AE}" pid="11" name="MSIP_Label_65319524-6178-494e-8dfd-b454cd765201_ContentBits">
    <vt:lpwstr>0</vt:lpwstr>
  </property>
</Properties>
</file>